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Pr="00FD766F" w:rsidRDefault="00036E5A" w:rsidP="006816EC">
      <w:pPr>
        <w:suppressLineNumbers/>
        <w:rPr>
          <w:b/>
          <w:bCs/>
          <w:sz w:val="26"/>
          <w:szCs w:val="26"/>
          <w:rtl/>
        </w:rPr>
      </w:pPr>
      <w:r w:rsidRPr="00FD766F">
        <w:rPr>
          <w:rFonts w:hint="cs"/>
          <w:b/>
          <w:bCs/>
          <w:sz w:val="26"/>
          <w:szCs w:val="26"/>
          <w:rtl/>
        </w:rPr>
        <w:t xml:space="preserve">בפניי : </w:t>
      </w:r>
      <w:r w:rsidR="00FD766F">
        <w:rPr>
          <w:b/>
          <w:bCs/>
          <w:sz w:val="26"/>
          <w:szCs w:val="26"/>
          <w:rtl/>
        </w:rPr>
        <w:tab/>
      </w:r>
      <w:r w:rsidRPr="00FD766F">
        <w:rPr>
          <w:rFonts w:hint="cs"/>
          <w:b/>
          <w:bCs/>
          <w:sz w:val="26"/>
          <w:szCs w:val="26"/>
          <w:rtl/>
        </w:rPr>
        <w:t>כבוד השופטת לירון זרבל קדשאי</w:t>
      </w:r>
    </w:p>
    <w:p w:rsidR="00036E5A" w:rsidRPr="00FD766F" w:rsidRDefault="00036E5A" w:rsidP="006816EC">
      <w:pPr>
        <w:suppressLineNumbers/>
        <w:rPr>
          <w:b/>
          <w:bCs/>
          <w:sz w:val="26"/>
          <w:szCs w:val="26"/>
          <w:rtl/>
        </w:rPr>
      </w:pPr>
    </w:p>
    <w:p w:rsidR="00FD766F" w:rsidRDefault="00FD766F" w:rsidP="00FD766F">
      <w:pPr>
        <w:suppressLineNumbers/>
        <w:spacing w:line="360" w:lineRule="auto"/>
        <w:rPr>
          <w:b/>
          <w:bCs/>
          <w:sz w:val="26"/>
          <w:szCs w:val="26"/>
          <w:rtl/>
        </w:rPr>
      </w:pPr>
    </w:p>
    <w:p w:rsidR="00036E5A" w:rsidRPr="00FD766F" w:rsidRDefault="00036E5A" w:rsidP="00932500">
      <w:pPr>
        <w:suppressLineNumbers/>
        <w:spacing w:line="360" w:lineRule="auto"/>
        <w:rPr>
          <w:b/>
          <w:bCs/>
          <w:sz w:val="26"/>
          <w:szCs w:val="26"/>
          <w:rtl/>
        </w:rPr>
      </w:pPr>
      <w:r w:rsidRPr="00FD766F">
        <w:rPr>
          <w:rFonts w:hint="cs"/>
          <w:b/>
          <w:bCs/>
          <w:sz w:val="26"/>
          <w:szCs w:val="26"/>
          <w:rtl/>
        </w:rPr>
        <w:t xml:space="preserve">האישה : </w:t>
      </w:r>
      <w:r w:rsidR="00FD766F">
        <w:rPr>
          <w:b/>
          <w:bCs/>
          <w:sz w:val="26"/>
          <w:szCs w:val="26"/>
          <w:rtl/>
        </w:rPr>
        <w:tab/>
      </w:r>
      <w:r w:rsidR="00FD766F">
        <w:rPr>
          <w:b/>
          <w:bCs/>
          <w:sz w:val="26"/>
          <w:szCs w:val="26"/>
          <w:rtl/>
        </w:rPr>
        <w:tab/>
      </w:r>
      <w:r w:rsidR="00932500">
        <w:rPr>
          <w:rFonts w:hint="cs"/>
          <w:b/>
          <w:bCs/>
          <w:sz w:val="26"/>
          <w:szCs w:val="26"/>
          <w:rtl/>
        </w:rPr>
        <w:t>פלונית</w:t>
      </w:r>
    </w:p>
    <w:p w:rsidR="00036E5A" w:rsidRPr="00FD766F" w:rsidRDefault="00036E5A" w:rsidP="00FD766F">
      <w:pPr>
        <w:suppressLineNumbers/>
        <w:spacing w:line="360" w:lineRule="auto"/>
        <w:ind w:left="1440" w:firstLine="720"/>
        <w:rPr>
          <w:rtl/>
        </w:rPr>
      </w:pPr>
      <w:r w:rsidRPr="00FD766F">
        <w:rPr>
          <w:rFonts w:hint="cs"/>
          <w:rtl/>
        </w:rPr>
        <w:t>ע"י ב"כ עו"ד</w:t>
      </w:r>
      <w:r w:rsidR="00FD766F">
        <w:rPr>
          <w:rFonts w:hint="cs"/>
          <w:rtl/>
        </w:rPr>
        <w:t xml:space="preserve"> אלנה קורנבלום-אלבז</w:t>
      </w:r>
    </w:p>
    <w:p w:rsidR="00036E5A" w:rsidRDefault="00036E5A" w:rsidP="006816EC">
      <w:pPr>
        <w:suppressLineNumbers/>
        <w:rPr>
          <w:sz w:val="26"/>
          <w:szCs w:val="26"/>
          <w:rtl/>
        </w:rPr>
      </w:pPr>
    </w:p>
    <w:p w:rsidR="00036E5A" w:rsidRDefault="00036E5A" w:rsidP="00FD766F">
      <w:pPr>
        <w:suppressLineNumbers/>
        <w:ind w:left="2160" w:firstLine="720"/>
        <w:rPr>
          <w:sz w:val="26"/>
          <w:szCs w:val="26"/>
          <w:rtl/>
        </w:rPr>
      </w:pPr>
      <w:r>
        <w:rPr>
          <w:rFonts w:hint="cs"/>
          <w:sz w:val="26"/>
          <w:szCs w:val="26"/>
          <w:rtl/>
        </w:rPr>
        <w:t>נ  ג  ד</w:t>
      </w:r>
    </w:p>
    <w:p w:rsidR="00FD766F" w:rsidRDefault="00FD766F" w:rsidP="006816EC">
      <w:pPr>
        <w:suppressLineNumbers/>
        <w:rPr>
          <w:sz w:val="26"/>
          <w:szCs w:val="26"/>
          <w:rtl/>
        </w:rPr>
      </w:pPr>
    </w:p>
    <w:p w:rsidR="00036E5A" w:rsidRPr="00FD766F" w:rsidRDefault="00036E5A" w:rsidP="00932500">
      <w:pPr>
        <w:suppressLineNumbers/>
        <w:spacing w:line="360" w:lineRule="auto"/>
        <w:rPr>
          <w:b/>
          <w:bCs/>
          <w:sz w:val="26"/>
          <w:szCs w:val="26"/>
          <w:rtl/>
        </w:rPr>
      </w:pPr>
      <w:r w:rsidRPr="00FD766F">
        <w:rPr>
          <w:rFonts w:hint="cs"/>
          <w:b/>
          <w:bCs/>
          <w:sz w:val="26"/>
          <w:szCs w:val="26"/>
          <w:rtl/>
        </w:rPr>
        <w:t xml:space="preserve">האיש : </w:t>
      </w:r>
      <w:r w:rsidR="00FD766F">
        <w:rPr>
          <w:b/>
          <w:bCs/>
          <w:sz w:val="26"/>
          <w:szCs w:val="26"/>
          <w:rtl/>
        </w:rPr>
        <w:tab/>
      </w:r>
      <w:r w:rsidR="00FD766F">
        <w:rPr>
          <w:b/>
          <w:bCs/>
          <w:sz w:val="26"/>
          <w:szCs w:val="26"/>
          <w:rtl/>
        </w:rPr>
        <w:tab/>
      </w:r>
      <w:r w:rsidR="00932500">
        <w:rPr>
          <w:rFonts w:hint="cs"/>
          <w:b/>
          <w:bCs/>
          <w:sz w:val="26"/>
          <w:szCs w:val="26"/>
          <w:rtl/>
        </w:rPr>
        <w:t>פלוני</w:t>
      </w:r>
    </w:p>
    <w:p w:rsidR="00036E5A" w:rsidRPr="00FD766F" w:rsidRDefault="00036E5A" w:rsidP="00FD766F">
      <w:pPr>
        <w:suppressLineNumbers/>
        <w:spacing w:line="360" w:lineRule="auto"/>
        <w:ind w:left="1440" w:firstLine="720"/>
        <w:rPr>
          <w:rtl/>
        </w:rPr>
      </w:pPr>
      <w:r w:rsidRPr="00FD766F">
        <w:rPr>
          <w:rFonts w:hint="cs"/>
          <w:rtl/>
        </w:rPr>
        <w:t>ע"י ב"כ עו"ד</w:t>
      </w:r>
      <w:r w:rsidR="00FD766F">
        <w:rPr>
          <w:rFonts w:hint="cs"/>
          <w:rtl/>
        </w:rPr>
        <w:t xml:space="preserve"> אלן עושרת</w:t>
      </w:r>
    </w:p>
    <w:p w:rsidR="00036E5A" w:rsidRDefault="00036E5A" w:rsidP="006816EC">
      <w:pPr>
        <w:suppressLineNumbers/>
        <w:rPr>
          <w:sz w:val="26"/>
          <w:szCs w:val="26"/>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FD766F" w:rsidRDefault="00005C8B">
            <w:pPr>
              <w:bidi w:val="0"/>
              <w:jc w:val="center"/>
              <w:rPr>
                <w:rFonts w:ascii="Arial" w:hAnsi="Arial"/>
                <w:b/>
                <w:bCs/>
                <w:noProof w:val="0"/>
                <w:sz w:val="36"/>
                <w:szCs w:val="36"/>
                <w:u w:val="single"/>
              </w:rPr>
            </w:pPr>
            <w:r w:rsidRPr="00FD766F">
              <w:rPr>
                <w:rFonts w:ascii="Arial" w:hAnsi="Arial"/>
                <w:b/>
                <w:bCs/>
                <w:noProof w:val="0"/>
                <w:sz w:val="36"/>
                <w:szCs w:val="36"/>
                <w:u w:val="single"/>
                <w:rtl/>
              </w:rPr>
              <w:t>פסק דין</w:t>
            </w:r>
          </w:p>
        </w:tc>
      </w:tr>
    </w:tbl>
    <w:p w:rsidR="00FD766F" w:rsidRDefault="00FD766F" w:rsidP="00FD766F">
      <w:pPr>
        <w:spacing w:line="360" w:lineRule="auto"/>
        <w:rPr>
          <w:rFonts w:ascii="David" w:hAnsi="David"/>
          <w:b/>
          <w:bCs/>
          <w:sz w:val="28"/>
          <w:szCs w:val="28"/>
          <w:u w:val="single"/>
          <w:rtl/>
        </w:rPr>
      </w:pPr>
    </w:p>
    <w:p w:rsidR="00FD766F" w:rsidRDefault="00FD766F" w:rsidP="0096640B">
      <w:pPr>
        <w:spacing w:line="360" w:lineRule="auto"/>
        <w:jc w:val="both"/>
        <w:rPr>
          <w:rFonts w:ascii="David" w:hAnsi="David"/>
          <w:b/>
          <w:bCs/>
          <w:rtl/>
        </w:rPr>
      </w:pPr>
      <w:r>
        <w:rPr>
          <w:rFonts w:ascii="David" w:hAnsi="David"/>
          <w:b/>
          <w:bCs/>
          <w:rtl/>
        </w:rPr>
        <w:t xml:space="preserve">לפניי </w:t>
      </w:r>
      <w:r>
        <w:rPr>
          <w:rFonts w:ascii="David" w:hAnsi="David" w:hint="cs"/>
          <w:b/>
          <w:bCs/>
          <w:rtl/>
        </w:rPr>
        <w:t xml:space="preserve">צמד </w:t>
      </w:r>
      <w:r>
        <w:rPr>
          <w:rFonts w:ascii="David" w:hAnsi="David"/>
          <w:b/>
          <w:bCs/>
          <w:rtl/>
        </w:rPr>
        <w:t>ערעורים הדדיים על קביעות שונות בהחלטת רשמת ההוצאה לפועל מיום 13.4.23 בתיק הוצל"פ</w:t>
      </w:r>
      <w:r w:rsidR="0096640B">
        <w:rPr>
          <w:rFonts w:ascii="David" w:hAnsi="David" w:hint="cs"/>
          <w:b/>
          <w:bCs/>
          <w:rtl/>
        </w:rPr>
        <w:t xml:space="preserve"> (מזונות)</w:t>
      </w:r>
      <w:r>
        <w:rPr>
          <w:rFonts w:ascii="David" w:hAnsi="David"/>
          <w:b/>
          <w:bCs/>
          <w:rtl/>
        </w:rPr>
        <w:t xml:space="preserve"> </w:t>
      </w:r>
      <w:r w:rsidRPr="0096640B">
        <w:rPr>
          <w:rFonts w:ascii="David" w:hAnsi="David"/>
          <w:b/>
          <w:bCs/>
          <w:rtl/>
        </w:rPr>
        <w:t>02-03528-09-9</w:t>
      </w:r>
      <w:r w:rsidR="0096640B">
        <w:rPr>
          <w:rFonts w:ascii="David" w:hAnsi="David" w:hint="cs"/>
          <w:b/>
          <w:bCs/>
          <w:rtl/>
        </w:rPr>
        <w:t>.</w:t>
      </w:r>
    </w:p>
    <w:p w:rsidR="00FD766F" w:rsidRDefault="00FD766F" w:rsidP="00FD766F">
      <w:pPr>
        <w:spacing w:line="360" w:lineRule="auto"/>
        <w:rPr>
          <w:rFonts w:ascii="David" w:hAnsi="David"/>
          <w:rtl/>
        </w:rPr>
      </w:pPr>
    </w:p>
    <w:p w:rsidR="00FD766F" w:rsidRDefault="00FD766F" w:rsidP="00FD766F">
      <w:pPr>
        <w:spacing w:line="360" w:lineRule="auto"/>
        <w:rPr>
          <w:rFonts w:ascii="David" w:hAnsi="David"/>
          <w:b/>
          <w:bCs/>
          <w:u w:val="single"/>
          <w:rtl/>
        </w:rPr>
      </w:pPr>
      <w:r>
        <w:rPr>
          <w:rFonts w:ascii="David" w:hAnsi="David"/>
          <w:b/>
          <w:bCs/>
          <w:u w:val="single"/>
          <w:rtl/>
        </w:rPr>
        <w:t>רקע והחלטות שיפוטיות רלוונטיות</w:t>
      </w:r>
    </w:p>
    <w:p w:rsidR="00FD766F" w:rsidRDefault="00FD766F" w:rsidP="00FD766F">
      <w:pPr>
        <w:spacing w:line="360" w:lineRule="auto"/>
        <w:rPr>
          <w:rFonts w:ascii="David" w:hAnsi="David"/>
          <w:u w:val="single"/>
          <w:rtl/>
        </w:rPr>
      </w:pPr>
    </w:p>
    <w:p w:rsidR="00FD766F" w:rsidRDefault="00FD766F" w:rsidP="00932500">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הצדדים ניהלו הליכים רבים וממושכים, הן בלשכת ההוצל"פ והן בפני בימ"ש זה (17 תיקים קשורים) לרבות בפני ערכאות הערעור, המתפרסים על</w:t>
      </w:r>
      <w:r>
        <w:rPr>
          <w:rFonts w:ascii="David" w:hAnsi="David" w:cs="David" w:hint="cs"/>
          <w:sz w:val="24"/>
          <w:szCs w:val="24"/>
          <w:rtl/>
        </w:rPr>
        <w:t>-</w:t>
      </w:r>
      <w:r>
        <w:rPr>
          <w:rFonts w:ascii="David" w:hAnsi="David" w:cs="David"/>
          <w:sz w:val="24"/>
          <w:szCs w:val="24"/>
          <w:rtl/>
        </w:rPr>
        <w:t>פני כשני עשורים. בד בבד נוהלו הליכים לאכיפת פסק דין ב</w:t>
      </w:r>
      <w:r w:rsidR="00932500">
        <w:rPr>
          <w:rFonts w:ascii="David" w:hAnsi="David" w:cs="David" w:hint="cs"/>
          <w:sz w:val="24"/>
          <w:szCs w:val="24"/>
          <w:rtl/>
        </w:rPr>
        <w:t>[חו"ל]</w:t>
      </w:r>
      <w:r>
        <w:rPr>
          <w:rFonts w:ascii="David" w:hAnsi="David" w:cs="David"/>
          <w:sz w:val="24"/>
          <w:szCs w:val="24"/>
          <w:rtl/>
        </w:rPr>
        <w:t>, מקום מושבו של האיש. מהחומר הקיים בעניינם של הצדדים עולה כי השניים הכירו ב</w:t>
      </w:r>
      <w:r w:rsidR="00932500">
        <w:rPr>
          <w:rFonts w:ascii="David" w:hAnsi="David" w:cs="David" w:hint="cs"/>
          <w:sz w:val="24"/>
          <w:szCs w:val="24"/>
          <w:rtl/>
        </w:rPr>
        <w:t>[חו"ל]</w:t>
      </w:r>
      <w:r>
        <w:rPr>
          <w:rFonts w:ascii="David" w:hAnsi="David" w:cs="David"/>
          <w:sz w:val="24"/>
          <w:szCs w:val="24"/>
          <w:rtl/>
        </w:rPr>
        <w:t xml:space="preserve"> בשנות ה-90, ניהלו מערכת יחסים זוגית (ללא נישואין) ממנה נולד בשנת 2003 בנם המשותף. בסמוך לאחר לידת הבן, שבה האישה לישראל עם הבן ואילו האיש נשאר בארה"ב ולימים הקים שם משפחה חדשה. </w:t>
      </w:r>
    </w:p>
    <w:p w:rsidR="00FD766F" w:rsidRDefault="00FD766F" w:rsidP="00FD766F">
      <w:pPr>
        <w:pStyle w:val="ad"/>
        <w:spacing w:after="0" w:line="360" w:lineRule="auto"/>
        <w:ind w:left="368"/>
        <w:jc w:val="both"/>
        <w:rPr>
          <w:rFonts w:ascii="David" w:hAnsi="David" w:cs="David"/>
          <w:b/>
          <w:bCs/>
          <w:sz w:val="24"/>
          <w:szCs w:val="24"/>
        </w:rPr>
      </w:pPr>
    </w:p>
    <w:p w:rsidR="00FD766F" w:rsidRDefault="00FD766F" w:rsidP="003D630D">
      <w:pPr>
        <w:pStyle w:val="ad"/>
        <w:numPr>
          <w:ilvl w:val="0"/>
          <w:numId w:val="1"/>
        </w:numPr>
        <w:spacing w:after="0" w:line="360" w:lineRule="auto"/>
        <w:ind w:left="368"/>
        <w:jc w:val="both"/>
        <w:rPr>
          <w:rFonts w:ascii="David" w:hAnsi="David" w:cs="David"/>
          <w:b/>
          <w:bCs/>
          <w:sz w:val="24"/>
          <w:szCs w:val="24"/>
        </w:rPr>
      </w:pPr>
      <w:r>
        <w:rPr>
          <w:rFonts w:ascii="David" w:hAnsi="David" w:cs="David"/>
          <w:b/>
          <w:bCs/>
          <w:sz w:val="24"/>
          <w:szCs w:val="24"/>
          <w:rtl/>
        </w:rPr>
        <w:t>מרבית ההליכים הרבים שנוהלו ומתנהלים בעניינם של הצדדים, לרבות הערעורים שבפניי, נוגעים למזונות הבן היחיד המשותף, שכיום הוא כבר בגיר.</w:t>
      </w:r>
    </w:p>
    <w:p w:rsidR="00FD766F" w:rsidRDefault="00FD766F" w:rsidP="00FD766F">
      <w:pPr>
        <w:pStyle w:val="ad"/>
        <w:spacing w:after="0" w:line="360" w:lineRule="auto"/>
        <w:ind w:left="368"/>
        <w:jc w:val="both"/>
        <w:rPr>
          <w:rFonts w:ascii="David" w:hAnsi="David" w:cs="David"/>
          <w:sz w:val="24"/>
          <w:szCs w:val="24"/>
        </w:rPr>
      </w:pPr>
    </w:p>
    <w:p w:rsidR="00FD766F" w:rsidRDefault="00FD766F" w:rsidP="00FD766F">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החלטת הרשמת נושא ערעורי הצדדים שבפניי עסקה ביישום הוראות פסק הדין המוסכם שניתן בעניינם של הצדדים ביום</w:t>
      </w:r>
      <w:r w:rsidRPr="00FD766F">
        <w:rPr>
          <w:rFonts w:ascii="David" w:hAnsi="David" w:cs="David"/>
          <w:b/>
          <w:bCs/>
          <w:sz w:val="24"/>
          <w:szCs w:val="24"/>
          <w:rtl/>
        </w:rPr>
        <w:t xml:space="preserve"> </w:t>
      </w:r>
      <w:r w:rsidRPr="003D630D">
        <w:rPr>
          <w:rFonts w:ascii="David" w:hAnsi="David" w:cs="David"/>
          <w:sz w:val="24"/>
          <w:szCs w:val="24"/>
          <w:rtl/>
        </w:rPr>
        <w:t>28.4.2021.</w:t>
      </w:r>
    </w:p>
    <w:p w:rsidR="00FD766F" w:rsidRDefault="00FD766F" w:rsidP="00FD766F">
      <w:pPr>
        <w:pStyle w:val="ad"/>
        <w:rPr>
          <w:rFonts w:ascii="David" w:hAnsi="David" w:cs="David"/>
          <w:sz w:val="24"/>
          <w:szCs w:val="24"/>
        </w:rPr>
      </w:pPr>
    </w:p>
    <w:p w:rsidR="00FD766F" w:rsidRDefault="00FD766F" w:rsidP="00242B7B">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בטרם </w:t>
      </w:r>
      <w:r>
        <w:rPr>
          <w:rFonts w:ascii="David" w:hAnsi="David" w:cs="David" w:hint="cs"/>
          <w:sz w:val="24"/>
          <w:szCs w:val="24"/>
          <w:rtl/>
        </w:rPr>
        <w:t>תפורטנה</w:t>
      </w:r>
      <w:r>
        <w:rPr>
          <w:rFonts w:ascii="David" w:hAnsi="David" w:cs="David"/>
          <w:sz w:val="24"/>
          <w:szCs w:val="24"/>
          <w:rtl/>
        </w:rPr>
        <w:t xml:space="preserve"> הטענות בערעורים, ולצורך הבנתן, מצאתי לסקור תחילה לה</w:t>
      </w:r>
      <w:r w:rsidR="00242B7B">
        <w:rPr>
          <w:rFonts w:ascii="David" w:hAnsi="David" w:cs="David"/>
          <w:sz w:val="24"/>
          <w:szCs w:val="24"/>
          <w:rtl/>
        </w:rPr>
        <w:t>לן ובקצרה את ההליכים הרלוונטיים</w:t>
      </w:r>
      <w:r w:rsidR="00242B7B">
        <w:rPr>
          <w:rFonts w:ascii="David" w:hAnsi="David" w:cs="David" w:hint="cs"/>
          <w:sz w:val="24"/>
          <w:szCs w:val="24"/>
          <w:rtl/>
        </w:rPr>
        <w:t xml:space="preserve"> </w:t>
      </w:r>
      <w:r w:rsidR="00242B7B" w:rsidRPr="001C69A4">
        <w:rPr>
          <w:rFonts w:ascii="David" w:hAnsi="David" w:cs="David" w:hint="cs"/>
          <w:sz w:val="24"/>
          <w:szCs w:val="24"/>
          <w:rtl/>
        </w:rPr>
        <w:t>שהובילו</w:t>
      </w:r>
      <w:r w:rsidRPr="001C69A4">
        <w:rPr>
          <w:rFonts w:ascii="David" w:hAnsi="David" w:cs="David"/>
          <w:sz w:val="24"/>
          <w:szCs w:val="24"/>
          <w:rtl/>
        </w:rPr>
        <w:t xml:space="preserve"> </w:t>
      </w:r>
      <w:r w:rsidR="00242B7B" w:rsidRPr="001C69A4">
        <w:rPr>
          <w:rFonts w:ascii="David" w:hAnsi="David" w:cs="David" w:hint="cs"/>
          <w:sz w:val="24"/>
          <w:szCs w:val="24"/>
          <w:rtl/>
        </w:rPr>
        <w:t>ל</w:t>
      </w:r>
      <w:r w:rsidRPr="001C69A4">
        <w:rPr>
          <w:rFonts w:ascii="David" w:hAnsi="David" w:cs="David"/>
          <w:sz w:val="24"/>
          <w:szCs w:val="24"/>
          <w:rtl/>
        </w:rPr>
        <w:t>פסק הדין</w:t>
      </w:r>
      <w:r>
        <w:rPr>
          <w:rFonts w:ascii="David" w:hAnsi="David" w:cs="David"/>
          <w:sz w:val="24"/>
          <w:szCs w:val="24"/>
          <w:rtl/>
        </w:rPr>
        <w:t xml:space="preserve"> המוסכם</w:t>
      </w:r>
      <w:r w:rsidR="00242B7B">
        <w:rPr>
          <w:rFonts w:ascii="David" w:hAnsi="David" w:cs="David"/>
          <w:sz w:val="24"/>
          <w:szCs w:val="24"/>
          <w:rtl/>
        </w:rPr>
        <w:t xml:space="preserve"> משנת 2021 בו עסקה החלטת הרשמת </w:t>
      </w:r>
      <w:r w:rsidR="00242B7B">
        <w:rPr>
          <w:rFonts w:ascii="David" w:hAnsi="David" w:cs="David" w:hint="cs"/>
          <w:sz w:val="24"/>
          <w:szCs w:val="24"/>
          <w:rtl/>
        </w:rPr>
        <w:t>מ</w:t>
      </w:r>
      <w:r>
        <w:rPr>
          <w:rFonts w:ascii="David" w:hAnsi="David" w:cs="David"/>
          <w:sz w:val="24"/>
          <w:szCs w:val="24"/>
          <w:rtl/>
        </w:rPr>
        <w:t>ושא ערעורי הצדדים.</w:t>
      </w:r>
    </w:p>
    <w:p w:rsidR="00FD766F" w:rsidRDefault="00FD766F" w:rsidP="00FD766F">
      <w:pPr>
        <w:pStyle w:val="ad"/>
        <w:rPr>
          <w:rFonts w:ascii="David" w:hAnsi="David" w:cs="David"/>
          <w:sz w:val="24"/>
          <w:szCs w:val="24"/>
        </w:rPr>
      </w:pPr>
    </w:p>
    <w:p w:rsidR="00FD766F" w:rsidRDefault="00FD766F" w:rsidP="003D630D">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תיק ההוצל"פ נפתח בשנת 2009 על סמך פסק דין </w:t>
      </w:r>
      <w:r>
        <w:rPr>
          <w:rFonts w:ascii="David" w:hAnsi="David" w:cs="David"/>
          <w:sz w:val="24"/>
          <w:szCs w:val="24"/>
          <w:u w:val="single"/>
          <w:rtl/>
        </w:rPr>
        <w:t>מוסכם</w:t>
      </w:r>
      <w:r>
        <w:rPr>
          <w:rFonts w:ascii="David" w:hAnsi="David" w:cs="David"/>
          <w:sz w:val="24"/>
          <w:szCs w:val="24"/>
          <w:rtl/>
        </w:rPr>
        <w:t xml:space="preserve"> מיום 15.3.2006 (תמ"ש 014160/05, להלן: "</w:t>
      </w:r>
      <w:r>
        <w:rPr>
          <w:rFonts w:ascii="David" w:hAnsi="David" w:cs="David"/>
          <w:b/>
          <w:bCs/>
          <w:sz w:val="24"/>
          <w:szCs w:val="24"/>
          <w:rtl/>
        </w:rPr>
        <w:t>פסק הדין משנת 2006</w:t>
      </w:r>
      <w:r>
        <w:rPr>
          <w:rFonts w:ascii="David" w:hAnsi="David" w:cs="David"/>
          <w:sz w:val="24"/>
          <w:szCs w:val="24"/>
          <w:rtl/>
        </w:rPr>
        <w:t>") במסגרתו נקבעו מזונות הבן בסך של 1,950 ₪ בתוספת</w:t>
      </w:r>
      <w:r w:rsidR="003D630D">
        <w:rPr>
          <w:rFonts w:ascii="David" w:hAnsi="David" w:cs="David" w:hint="cs"/>
          <w:sz w:val="24"/>
          <w:szCs w:val="24"/>
          <w:rtl/>
        </w:rPr>
        <w:t xml:space="preserve"> הפרשי</w:t>
      </w:r>
      <w:r w:rsidR="003D630D">
        <w:rPr>
          <w:rFonts w:ascii="David" w:hAnsi="David" w:cs="David"/>
          <w:sz w:val="24"/>
          <w:szCs w:val="24"/>
          <w:rtl/>
        </w:rPr>
        <w:t xml:space="preserve"> הצמדה למדד </w:t>
      </w:r>
      <w:r>
        <w:rPr>
          <w:rFonts w:ascii="David" w:hAnsi="David" w:cs="David"/>
          <w:sz w:val="24"/>
          <w:szCs w:val="24"/>
          <w:rtl/>
        </w:rPr>
        <w:t xml:space="preserve">וכן חלוקה שווה בהוצאות הרפואיות החריגות. </w:t>
      </w:r>
    </w:p>
    <w:p w:rsidR="00FD766F" w:rsidRDefault="00FD766F" w:rsidP="00FD766F">
      <w:pPr>
        <w:pStyle w:val="ad"/>
        <w:rPr>
          <w:rFonts w:ascii="David" w:hAnsi="David" w:cs="David"/>
          <w:sz w:val="24"/>
          <w:szCs w:val="24"/>
        </w:rPr>
      </w:pPr>
    </w:p>
    <w:p w:rsidR="00FD766F" w:rsidRDefault="00FD766F" w:rsidP="00FD766F">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כ- 3 שנים לאחר מכן הגישה האישה תביעת מזונות חדשה וביום 3.3.2010 ניתן פסק דין </w:t>
      </w:r>
      <w:r>
        <w:rPr>
          <w:rFonts w:ascii="David" w:hAnsi="David" w:cs="David"/>
          <w:sz w:val="24"/>
          <w:szCs w:val="24"/>
          <w:u w:val="single"/>
          <w:rtl/>
        </w:rPr>
        <w:t>בהעדר הגנה</w:t>
      </w:r>
      <w:r>
        <w:rPr>
          <w:rFonts w:ascii="David" w:hAnsi="David" w:cs="David"/>
          <w:sz w:val="24"/>
          <w:szCs w:val="24"/>
          <w:rtl/>
        </w:rPr>
        <w:t xml:space="preserve"> במסגרתו הוגדלו המזונות לסך של 5,271 ₪ בתוספת הצמדה למדד המחירים לצרכן וזאת החל ממועד הגשת התביעה (16.7.2009) ובגובה שליש מהסכום הנ"ל לאחר גיל 18 או סיום לימודי התיכון. כן חויבו הצדדים בחלקים שווים בהוצאות החינוך והרפואה (תמ"ש 12010-07-09 להלן: "</w:t>
      </w:r>
      <w:r>
        <w:rPr>
          <w:rFonts w:ascii="David" w:hAnsi="David" w:cs="David"/>
          <w:b/>
          <w:bCs/>
          <w:sz w:val="24"/>
          <w:szCs w:val="24"/>
          <w:rtl/>
        </w:rPr>
        <w:t>פסק הדין משנת 2010</w:t>
      </w:r>
      <w:r>
        <w:rPr>
          <w:rFonts w:ascii="David" w:hAnsi="David" w:cs="David"/>
          <w:sz w:val="24"/>
          <w:szCs w:val="24"/>
          <w:rtl/>
        </w:rPr>
        <w:t xml:space="preserve">").  </w:t>
      </w:r>
    </w:p>
    <w:p w:rsidR="00FD766F" w:rsidRDefault="00FD766F" w:rsidP="00FD766F">
      <w:pPr>
        <w:pStyle w:val="ad"/>
        <w:rPr>
          <w:rFonts w:ascii="David" w:hAnsi="David" w:cs="David"/>
          <w:sz w:val="24"/>
          <w:szCs w:val="24"/>
        </w:rPr>
      </w:pPr>
    </w:p>
    <w:p w:rsidR="00FD766F" w:rsidRPr="00594203" w:rsidRDefault="00FD766F" w:rsidP="003D630D">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בשנת 2016 הגיש האיש בקשה לביטול פסק הדין משנת 2010 שניתן בהעדרו, אשר נדחתה בהחלטה מיום 8.12.16. על ההחלטה הוגשה בקשת רשות ערעור</w:t>
      </w:r>
      <w:r w:rsidR="00242B7B">
        <w:rPr>
          <w:rFonts w:ascii="David" w:hAnsi="David" w:cs="David" w:hint="cs"/>
          <w:sz w:val="24"/>
          <w:szCs w:val="24"/>
          <w:rtl/>
        </w:rPr>
        <w:t xml:space="preserve"> </w:t>
      </w:r>
      <w:r w:rsidR="00242B7B" w:rsidRPr="001C69A4">
        <w:rPr>
          <w:rFonts w:ascii="David" w:hAnsi="David" w:cs="David" w:hint="cs"/>
          <w:sz w:val="24"/>
          <w:szCs w:val="24"/>
          <w:rtl/>
        </w:rPr>
        <w:t>שהתקבלה באופן חלקי</w:t>
      </w:r>
      <w:r>
        <w:rPr>
          <w:rFonts w:ascii="David" w:hAnsi="David" w:cs="David"/>
          <w:sz w:val="24"/>
          <w:szCs w:val="24"/>
          <w:rtl/>
        </w:rPr>
        <w:t xml:space="preserve"> (רמ"ש 2</w:t>
      </w:r>
      <w:r w:rsidR="003D630D">
        <w:rPr>
          <w:rFonts w:ascii="David" w:hAnsi="David" w:cs="David"/>
          <w:sz w:val="24"/>
          <w:szCs w:val="24"/>
          <w:rtl/>
        </w:rPr>
        <w:t>0036-01-17 מיום 6.4.17</w:t>
      </w:r>
      <w:r w:rsidR="003D630D">
        <w:rPr>
          <w:rFonts w:ascii="David" w:hAnsi="David" w:cs="David" w:hint="cs"/>
          <w:sz w:val="24"/>
          <w:szCs w:val="24"/>
          <w:rtl/>
        </w:rPr>
        <w:t>, להלן: "</w:t>
      </w:r>
      <w:r w:rsidR="003D630D" w:rsidRPr="003D630D">
        <w:rPr>
          <w:rFonts w:ascii="David" w:hAnsi="David" w:cs="David" w:hint="cs"/>
          <w:b/>
          <w:bCs/>
          <w:sz w:val="24"/>
          <w:szCs w:val="24"/>
          <w:rtl/>
        </w:rPr>
        <w:t>פסק הדין בערעור</w:t>
      </w:r>
      <w:r w:rsidR="003D630D">
        <w:rPr>
          <w:rFonts w:ascii="David" w:hAnsi="David" w:cs="David" w:hint="cs"/>
          <w:sz w:val="24"/>
          <w:szCs w:val="24"/>
          <w:rtl/>
        </w:rPr>
        <w:t xml:space="preserve">") ונקבע על ידי כב' </w:t>
      </w:r>
      <w:r>
        <w:rPr>
          <w:rFonts w:ascii="David" w:hAnsi="David" w:cs="David"/>
          <w:sz w:val="24"/>
          <w:szCs w:val="24"/>
          <w:rtl/>
        </w:rPr>
        <w:t>ביהמ"ש המחוזי כי</w:t>
      </w:r>
      <w:r w:rsidRPr="00337DB4">
        <w:rPr>
          <w:rFonts w:ascii="David" w:hAnsi="David" w:cs="David"/>
          <w:sz w:val="24"/>
          <w:szCs w:val="24"/>
          <w:rtl/>
        </w:rPr>
        <w:t>: "</w:t>
      </w:r>
      <w:r w:rsidRPr="00337DB4">
        <w:rPr>
          <w:rFonts w:ascii="David" w:hAnsi="David" w:cs="David"/>
          <w:b/>
          <w:bCs/>
          <w:sz w:val="24"/>
          <w:szCs w:val="24"/>
          <w:rtl/>
        </w:rPr>
        <w:t xml:space="preserve">אני מקבלת את הערעור בנקודה אחת בלבד והיא, כי סכום המזונות שנפסק, יהפוך ממזונות קבועים למזונות זמניים וזאת </w:t>
      </w:r>
      <w:r w:rsidRPr="00337DB4">
        <w:rPr>
          <w:rFonts w:ascii="David" w:hAnsi="David" w:cs="David"/>
          <w:b/>
          <w:bCs/>
          <w:sz w:val="24"/>
          <w:szCs w:val="24"/>
          <w:u w:val="single"/>
          <w:rtl/>
        </w:rPr>
        <w:t>החל מחודש פברואר 2012</w:t>
      </w:r>
      <w:r w:rsidRPr="00337DB4">
        <w:rPr>
          <w:rFonts w:ascii="David" w:hAnsi="David" w:cs="David"/>
          <w:b/>
          <w:bCs/>
          <w:sz w:val="24"/>
          <w:szCs w:val="24"/>
          <w:rtl/>
        </w:rPr>
        <w:t xml:space="preserve"> (המועד בו ניהל הליך לביטול אכיפת פסק הדין השני בפלורידה) </w:t>
      </w:r>
      <w:r w:rsidRPr="00337DB4">
        <w:rPr>
          <w:rFonts w:ascii="David" w:hAnsi="David" w:cs="David"/>
          <w:b/>
          <w:bCs/>
          <w:sz w:val="24"/>
          <w:szCs w:val="24"/>
          <w:u w:val="single"/>
          <w:rtl/>
        </w:rPr>
        <w:t>וזאת עד החלטה אחרת</w:t>
      </w:r>
      <w:r w:rsidRPr="00337DB4">
        <w:rPr>
          <w:rFonts w:ascii="David" w:hAnsi="David" w:cs="David"/>
          <w:b/>
          <w:bCs/>
          <w:sz w:val="24"/>
          <w:szCs w:val="24"/>
          <w:rtl/>
        </w:rPr>
        <w:t>, שתינתן ע"י המותב שידון בתיק העיקרי</w:t>
      </w:r>
      <w:r w:rsidRPr="00337DB4">
        <w:rPr>
          <w:rFonts w:ascii="David" w:hAnsi="David" w:cs="David"/>
          <w:sz w:val="24"/>
          <w:szCs w:val="24"/>
          <w:rtl/>
        </w:rPr>
        <w:t>" (להלן: "</w:t>
      </w:r>
      <w:r w:rsidRPr="00337DB4">
        <w:rPr>
          <w:rFonts w:ascii="David" w:hAnsi="David" w:cs="David"/>
          <w:b/>
          <w:bCs/>
          <w:sz w:val="24"/>
          <w:szCs w:val="24"/>
          <w:rtl/>
        </w:rPr>
        <w:t>פסק הדין בערעור</w:t>
      </w:r>
      <w:r w:rsidRPr="00337DB4">
        <w:rPr>
          <w:rFonts w:ascii="David" w:hAnsi="David" w:cs="David"/>
          <w:sz w:val="24"/>
          <w:szCs w:val="24"/>
          <w:rtl/>
        </w:rPr>
        <w:t xml:space="preserve">", ההדגשה אינה במקור).  </w:t>
      </w:r>
      <w:r w:rsidR="00594203">
        <w:rPr>
          <w:rFonts w:ascii="David" w:hAnsi="David" w:cs="David" w:hint="cs"/>
          <w:sz w:val="24"/>
          <w:szCs w:val="24"/>
          <w:rtl/>
        </w:rPr>
        <w:t xml:space="preserve">הלכה למעשה משמעות קביעת כב' ביהמ"ש המחוזי היא </w:t>
      </w:r>
      <w:r w:rsidR="00594203" w:rsidRPr="00594203">
        <w:rPr>
          <w:rFonts w:ascii="David" w:hAnsi="David" w:cs="David" w:hint="cs"/>
          <w:sz w:val="24"/>
          <w:szCs w:val="24"/>
          <w:rtl/>
        </w:rPr>
        <w:t>ש</w:t>
      </w:r>
      <w:r w:rsidR="00594203" w:rsidRPr="00594203">
        <w:rPr>
          <w:rFonts w:ascii="David" w:hAnsi="David" w:cs="David"/>
          <w:sz w:val="24"/>
          <w:szCs w:val="24"/>
          <w:rtl/>
        </w:rPr>
        <w:t xml:space="preserve">המזונות שנקבעו בפסק הדין </w:t>
      </w:r>
      <w:r w:rsidR="00594203" w:rsidRPr="00594203">
        <w:rPr>
          <w:rFonts w:ascii="David" w:hAnsi="David" w:cs="David" w:hint="cs"/>
          <w:sz w:val="24"/>
          <w:szCs w:val="24"/>
          <w:rtl/>
        </w:rPr>
        <w:t>מ</w:t>
      </w:r>
      <w:r w:rsidR="00594203" w:rsidRPr="00594203">
        <w:rPr>
          <w:rFonts w:ascii="David" w:hAnsi="David" w:cs="David"/>
          <w:sz w:val="24"/>
          <w:szCs w:val="24"/>
          <w:rtl/>
        </w:rPr>
        <w:t xml:space="preserve">שנת 2006 (בסך של 1,950 ₪) </w:t>
      </w:r>
      <w:r w:rsidR="00594203" w:rsidRPr="00594203">
        <w:rPr>
          <w:rFonts w:ascii="David" w:hAnsi="David" w:cs="David" w:hint="cs"/>
          <w:sz w:val="24"/>
          <w:szCs w:val="24"/>
          <w:rtl/>
        </w:rPr>
        <w:t xml:space="preserve">יוותרו </w:t>
      </w:r>
      <w:r w:rsidR="00594203" w:rsidRPr="00594203">
        <w:rPr>
          <w:rFonts w:ascii="David" w:hAnsi="David" w:cs="David"/>
          <w:sz w:val="24"/>
          <w:szCs w:val="24"/>
          <w:rtl/>
        </w:rPr>
        <w:t>על כנם עד לחודש 1/2012 (כולל).</w:t>
      </w:r>
      <w:r w:rsidR="00594203" w:rsidRPr="00594203">
        <w:rPr>
          <w:rFonts w:ascii="David" w:hAnsi="David" w:cs="David" w:hint="cs"/>
          <w:sz w:val="24"/>
          <w:szCs w:val="24"/>
          <w:rtl/>
        </w:rPr>
        <w:t xml:space="preserve"> כמו כן, </w:t>
      </w:r>
      <w:r w:rsidR="00594203" w:rsidRPr="00594203">
        <w:rPr>
          <w:rFonts w:ascii="David" w:hAnsi="David" w:cs="David"/>
          <w:sz w:val="24"/>
          <w:szCs w:val="24"/>
          <w:rtl/>
        </w:rPr>
        <w:t>דמי המזונות שנקבעו בפסק הדין משנת 2010 יהפכו ל"</w:t>
      </w:r>
      <w:r w:rsidR="00594203" w:rsidRPr="00594203">
        <w:rPr>
          <w:rFonts w:ascii="David" w:hAnsi="David" w:cs="David"/>
          <w:b/>
          <w:bCs/>
          <w:sz w:val="24"/>
          <w:szCs w:val="24"/>
          <w:rtl/>
        </w:rPr>
        <w:t>מזונות זמניים</w:t>
      </w:r>
      <w:r w:rsidR="00594203" w:rsidRPr="00594203">
        <w:rPr>
          <w:rFonts w:ascii="David" w:hAnsi="David" w:cs="David"/>
          <w:sz w:val="24"/>
          <w:szCs w:val="24"/>
          <w:rtl/>
        </w:rPr>
        <w:t>" וזאת החל מחודש 2/2012 ועד להכרעה בטענות הנוגעות לגובה החיוב במזונות</w:t>
      </w:r>
      <w:r w:rsidR="00594203" w:rsidRPr="00594203">
        <w:rPr>
          <w:rFonts w:ascii="David" w:hAnsi="David" w:cs="David" w:hint="cs"/>
          <w:sz w:val="24"/>
          <w:szCs w:val="24"/>
          <w:rtl/>
        </w:rPr>
        <w:t>.</w:t>
      </w:r>
      <w:r w:rsidR="00594203" w:rsidRPr="00594203">
        <w:rPr>
          <w:rFonts w:ascii="David" w:hAnsi="David" w:cs="David"/>
          <w:sz w:val="24"/>
          <w:szCs w:val="24"/>
          <w:rtl/>
        </w:rPr>
        <w:t xml:space="preserve"> </w:t>
      </w:r>
    </w:p>
    <w:p w:rsidR="00FD766F" w:rsidRDefault="00FD766F" w:rsidP="00FD766F">
      <w:pPr>
        <w:spacing w:line="360" w:lineRule="auto"/>
        <w:jc w:val="both"/>
        <w:rPr>
          <w:rFonts w:ascii="David" w:hAnsi="David"/>
        </w:rPr>
      </w:pPr>
    </w:p>
    <w:p w:rsidR="00FD766F" w:rsidRDefault="00FD766F" w:rsidP="00594203">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ביום </w:t>
      </w:r>
      <w:r w:rsidR="00594203">
        <w:rPr>
          <w:rFonts w:ascii="David" w:hAnsi="David" w:cs="David" w:hint="cs"/>
          <w:sz w:val="24"/>
          <w:szCs w:val="24"/>
          <w:rtl/>
        </w:rPr>
        <w:t>5.10.2020</w:t>
      </w:r>
      <w:r w:rsidR="00242B7B">
        <w:rPr>
          <w:rFonts w:ascii="David" w:hAnsi="David" w:cs="David" w:hint="cs"/>
          <w:sz w:val="24"/>
          <w:szCs w:val="24"/>
          <w:rtl/>
        </w:rPr>
        <w:t xml:space="preserve"> </w:t>
      </w:r>
      <w:r w:rsidR="00242B7B" w:rsidRPr="00594203">
        <w:rPr>
          <w:rFonts w:ascii="David" w:hAnsi="David" w:cs="David" w:hint="cs"/>
          <w:sz w:val="24"/>
          <w:szCs w:val="24"/>
          <w:rtl/>
        </w:rPr>
        <w:t>הגיש האיש תביעה להפחתת המזונות</w:t>
      </w:r>
      <w:r w:rsidR="00242B7B">
        <w:rPr>
          <w:rFonts w:ascii="David" w:hAnsi="David" w:cs="David" w:hint="cs"/>
          <w:sz w:val="24"/>
          <w:szCs w:val="24"/>
          <w:rtl/>
        </w:rPr>
        <w:t xml:space="preserve"> </w:t>
      </w:r>
      <w:r w:rsidR="00242B7B">
        <w:rPr>
          <w:rFonts w:ascii="David" w:hAnsi="David" w:cs="David"/>
          <w:sz w:val="24"/>
          <w:szCs w:val="24"/>
          <w:rtl/>
        </w:rPr>
        <w:t>(תלה"מ 8999-10-20)</w:t>
      </w:r>
      <w:r w:rsidR="00242B7B">
        <w:rPr>
          <w:rFonts w:ascii="David" w:hAnsi="David" w:cs="David" w:hint="cs"/>
          <w:sz w:val="24"/>
          <w:szCs w:val="24"/>
          <w:rtl/>
        </w:rPr>
        <w:t>. במהלך</w:t>
      </w:r>
      <w:r>
        <w:rPr>
          <w:rFonts w:ascii="David" w:hAnsi="David" w:cs="David"/>
          <w:sz w:val="24"/>
          <w:szCs w:val="24"/>
          <w:rtl/>
        </w:rPr>
        <w:t xml:space="preserve"> דיון </w:t>
      </w:r>
      <w:r w:rsidR="00242B7B">
        <w:rPr>
          <w:rFonts w:ascii="David" w:hAnsi="David" w:cs="David" w:hint="cs"/>
          <w:sz w:val="24"/>
          <w:szCs w:val="24"/>
          <w:rtl/>
        </w:rPr>
        <w:t xml:space="preserve">במעמד הצדדים </w:t>
      </w:r>
      <w:r>
        <w:rPr>
          <w:rFonts w:ascii="David" w:hAnsi="David" w:cs="David"/>
          <w:sz w:val="24"/>
          <w:szCs w:val="24"/>
          <w:rtl/>
        </w:rPr>
        <w:t xml:space="preserve">בפני </w:t>
      </w:r>
      <w:r w:rsidR="00594203">
        <w:rPr>
          <w:rFonts w:ascii="David" w:hAnsi="David" w:cs="David" w:hint="cs"/>
          <w:sz w:val="24"/>
          <w:szCs w:val="24"/>
          <w:rtl/>
        </w:rPr>
        <w:t>כב' הש' אלה מירז (להלן: "</w:t>
      </w:r>
      <w:r w:rsidR="00594203" w:rsidRPr="00594203">
        <w:rPr>
          <w:rFonts w:ascii="David" w:hAnsi="David" w:cs="David" w:hint="cs"/>
          <w:b/>
          <w:bCs/>
          <w:sz w:val="24"/>
          <w:szCs w:val="24"/>
          <w:rtl/>
        </w:rPr>
        <w:t>המותב הקודם</w:t>
      </w:r>
      <w:r w:rsidR="00594203">
        <w:rPr>
          <w:rFonts w:ascii="David" w:hAnsi="David" w:cs="David" w:hint="cs"/>
          <w:sz w:val="24"/>
          <w:szCs w:val="24"/>
          <w:rtl/>
        </w:rPr>
        <w:t>")</w:t>
      </w:r>
      <w:r w:rsidR="00242B7B">
        <w:rPr>
          <w:rFonts w:ascii="David" w:hAnsi="David" w:cs="David" w:hint="cs"/>
          <w:sz w:val="24"/>
          <w:szCs w:val="24"/>
          <w:rtl/>
        </w:rPr>
        <w:t>,</w:t>
      </w:r>
      <w:r>
        <w:rPr>
          <w:rFonts w:ascii="David" w:hAnsi="David" w:cs="David"/>
          <w:sz w:val="24"/>
          <w:szCs w:val="24"/>
          <w:rtl/>
        </w:rPr>
        <w:t xml:space="preserve"> השכילו הצדדים להגיע להסכמות כדלקמן (להלן: "</w:t>
      </w:r>
      <w:r>
        <w:rPr>
          <w:rFonts w:ascii="David" w:hAnsi="David" w:cs="David"/>
          <w:b/>
          <w:bCs/>
          <w:sz w:val="24"/>
          <w:szCs w:val="24"/>
          <w:rtl/>
        </w:rPr>
        <w:t>פסק הדין משנת 2021</w:t>
      </w:r>
      <w:r>
        <w:rPr>
          <w:rFonts w:ascii="David" w:hAnsi="David" w:cs="David"/>
          <w:sz w:val="24"/>
          <w:szCs w:val="24"/>
          <w:rtl/>
        </w:rPr>
        <w:t>"):</w:t>
      </w:r>
    </w:p>
    <w:p w:rsidR="00FD766F" w:rsidRDefault="00FD766F" w:rsidP="00FD766F">
      <w:pPr>
        <w:pStyle w:val="ad"/>
        <w:rPr>
          <w:rFonts w:ascii="David" w:hAnsi="David" w:cs="David"/>
          <w:sz w:val="24"/>
          <w:szCs w:val="24"/>
        </w:rPr>
      </w:pPr>
    </w:p>
    <w:p w:rsidR="00FD766F" w:rsidRDefault="00FD766F" w:rsidP="00FD766F">
      <w:pPr>
        <w:spacing w:line="360" w:lineRule="auto"/>
        <w:ind w:left="728" w:right="426"/>
        <w:jc w:val="both"/>
        <w:rPr>
          <w:rFonts w:ascii="David" w:hAnsi="David"/>
          <w:b/>
          <w:bCs/>
          <w:u w:val="single"/>
          <w:rtl/>
        </w:rPr>
      </w:pPr>
      <w:r>
        <w:rPr>
          <w:rFonts w:ascii="David" w:hAnsi="David"/>
          <w:rtl/>
        </w:rPr>
        <w:t>"</w:t>
      </w:r>
      <w:r>
        <w:rPr>
          <w:rFonts w:ascii="David" w:hAnsi="David"/>
          <w:b/>
          <w:bCs/>
          <w:u w:val="single"/>
          <w:rtl/>
        </w:rPr>
        <w:t>הצעת בית משפט:</w:t>
      </w:r>
    </w:p>
    <w:p w:rsidR="00FD766F" w:rsidRDefault="00FD766F" w:rsidP="00FD766F">
      <w:pPr>
        <w:pStyle w:val="ad"/>
        <w:numPr>
          <w:ilvl w:val="0"/>
          <w:numId w:val="2"/>
        </w:numPr>
        <w:spacing w:after="0" w:line="360" w:lineRule="auto"/>
        <w:ind w:left="1448" w:right="426"/>
        <w:jc w:val="both"/>
        <w:rPr>
          <w:rFonts w:ascii="David" w:hAnsi="David" w:cs="David"/>
          <w:b/>
          <w:bCs/>
          <w:sz w:val="24"/>
          <w:szCs w:val="24"/>
        </w:rPr>
      </w:pPr>
      <w:r>
        <w:rPr>
          <w:rFonts w:ascii="David" w:hAnsi="David" w:cs="David"/>
          <w:b/>
          <w:bCs/>
          <w:sz w:val="24"/>
          <w:szCs w:val="24"/>
          <w:rtl/>
        </w:rPr>
        <w:t>על מנת לסייע לצדדים לסיים את המחלוקת בכללותה בית המשפט מציע כי מזונו</w:t>
      </w:r>
      <w:r w:rsidR="005416AE">
        <w:rPr>
          <w:rFonts w:ascii="David" w:hAnsi="David" w:cs="David"/>
          <w:b/>
          <w:bCs/>
          <w:sz w:val="24"/>
          <w:szCs w:val="24"/>
          <w:rtl/>
        </w:rPr>
        <w:t>ת הקטין יעמדו על סך של 2,500 ₪</w:t>
      </w:r>
      <w:r>
        <w:rPr>
          <w:rFonts w:ascii="David" w:hAnsi="David" w:cs="David"/>
          <w:b/>
          <w:bCs/>
          <w:sz w:val="24"/>
          <w:szCs w:val="24"/>
          <w:rtl/>
        </w:rPr>
        <w:t xml:space="preserve"> לחודש במקום פסק הדין שניתן  בהעדר ביום 3/3/10 על ידי  כב' הרשם זיתוני </w:t>
      </w:r>
      <w:r>
        <w:rPr>
          <w:rFonts w:ascii="David" w:hAnsi="David" w:cs="David"/>
          <w:sz w:val="24"/>
          <w:szCs w:val="24"/>
          <w:rtl/>
        </w:rPr>
        <w:t>[הוא פסק הדין משנת 2010]</w:t>
      </w:r>
      <w:r>
        <w:rPr>
          <w:rFonts w:ascii="David" w:hAnsi="David" w:cs="David"/>
          <w:b/>
          <w:bCs/>
          <w:sz w:val="24"/>
          <w:szCs w:val="24"/>
          <w:rtl/>
        </w:rPr>
        <w:t xml:space="preserve">. </w:t>
      </w:r>
    </w:p>
    <w:p w:rsidR="00FD766F" w:rsidRDefault="00FD766F" w:rsidP="00FD766F">
      <w:pPr>
        <w:pStyle w:val="ad"/>
        <w:numPr>
          <w:ilvl w:val="0"/>
          <w:numId w:val="2"/>
        </w:numPr>
        <w:spacing w:after="0" w:line="360" w:lineRule="auto"/>
        <w:ind w:left="1448" w:right="426"/>
        <w:jc w:val="both"/>
        <w:rPr>
          <w:rFonts w:ascii="David" w:hAnsi="David" w:cs="David"/>
          <w:b/>
          <w:bCs/>
          <w:sz w:val="24"/>
          <w:szCs w:val="24"/>
          <w:rtl/>
        </w:rPr>
      </w:pPr>
      <w:r>
        <w:rPr>
          <w:rFonts w:ascii="David" w:hAnsi="David" w:cs="David"/>
          <w:b/>
          <w:bCs/>
          <w:sz w:val="24"/>
          <w:szCs w:val="24"/>
          <w:rtl/>
        </w:rPr>
        <w:t>ב"כ הצדדים יבדקו בהוצל"פ מועד הגדלת חוב המזונות לסכום שנפסק בפסק הדין שניתן בהעדר ו/או פסק הדין בערעור של כב' השופטת אספרנצה</w:t>
      </w:r>
      <w:r>
        <w:rPr>
          <w:rFonts w:ascii="David" w:hAnsi="David" w:cs="David"/>
          <w:sz w:val="24"/>
          <w:szCs w:val="24"/>
          <w:rtl/>
        </w:rPr>
        <w:t xml:space="preserve"> [הוא פסק הדין בערעור] </w:t>
      </w:r>
      <w:r>
        <w:rPr>
          <w:rFonts w:ascii="David" w:hAnsi="David" w:cs="David"/>
          <w:b/>
          <w:bCs/>
          <w:sz w:val="24"/>
          <w:szCs w:val="24"/>
          <w:rtl/>
        </w:rPr>
        <w:t>שקבע</w:t>
      </w:r>
      <w:r w:rsidR="005416AE">
        <w:rPr>
          <w:rFonts w:ascii="David" w:hAnsi="David" w:cs="David"/>
          <w:b/>
          <w:bCs/>
          <w:sz w:val="24"/>
          <w:szCs w:val="24"/>
          <w:rtl/>
        </w:rPr>
        <w:t>ה מועד פברואר 2012 פסק דין מיום</w:t>
      </w:r>
      <w:r>
        <w:rPr>
          <w:rFonts w:ascii="David" w:hAnsi="David" w:cs="David"/>
          <w:b/>
          <w:bCs/>
          <w:sz w:val="24"/>
          <w:szCs w:val="24"/>
          <w:rtl/>
        </w:rPr>
        <w:t xml:space="preserve"> 6/4/17, וממועד </w:t>
      </w:r>
      <w:r>
        <w:rPr>
          <w:rFonts w:ascii="David" w:hAnsi="David" w:cs="David"/>
          <w:b/>
          <w:bCs/>
          <w:sz w:val="24"/>
          <w:szCs w:val="24"/>
          <w:rtl/>
        </w:rPr>
        <w:lastRenderedPageBreak/>
        <w:t xml:space="preserve">זה חישוב חוב המזונות יערך על פי מזונות בסך של 2,500 ₪ לחודש, בקיזוז סכומים ששולמו. </w:t>
      </w:r>
    </w:p>
    <w:p w:rsidR="00FD766F" w:rsidRDefault="00FD766F" w:rsidP="00FD766F">
      <w:pPr>
        <w:pStyle w:val="ad"/>
        <w:numPr>
          <w:ilvl w:val="0"/>
          <w:numId w:val="2"/>
        </w:numPr>
        <w:spacing w:after="0" w:line="360" w:lineRule="auto"/>
        <w:ind w:left="1448" w:right="426"/>
        <w:jc w:val="both"/>
        <w:rPr>
          <w:rFonts w:ascii="David" w:hAnsi="David" w:cs="David"/>
          <w:b/>
          <w:bCs/>
          <w:sz w:val="24"/>
          <w:szCs w:val="24"/>
        </w:rPr>
      </w:pPr>
      <w:r>
        <w:rPr>
          <w:rFonts w:ascii="David" w:hAnsi="David" w:cs="David"/>
          <w:b/>
          <w:bCs/>
          <w:sz w:val="24"/>
          <w:szCs w:val="24"/>
          <w:rtl/>
        </w:rPr>
        <w:t xml:space="preserve">בהסכמת הצדדים, ימנו ב"כ הצדדים רואה חשבון מהסיוע המשפטי על מנת  לעשות את התחשיב הנכון לקביעת יתרת חוב המזונות במידה וקיימת. </w:t>
      </w:r>
    </w:p>
    <w:p w:rsidR="00FD766F" w:rsidRDefault="00FD766F" w:rsidP="00932500">
      <w:pPr>
        <w:pStyle w:val="ad"/>
        <w:numPr>
          <w:ilvl w:val="0"/>
          <w:numId w:val="2"/>
        </w:numPr>
        <w:spacing w:after="0" w:line="360" w:lineRule="auto"/>
        <w:ind w:left="1448" w:right="426"/>
        <w:jc w:val="both"/>
        <w:rPr>
          <w:rFonts w:ascii="David" w:hAnsi="David" w:cs="David"/>
          <w:b/>
          <w:bCs/>
          <w:sz w:val="24"/>
          <w:szCs w:val="24"/>
        </w:rPr>
      </w:pPr>
      <w:r>
        <w:rPr>
          <w:rFonts w:ascii="David" w:hAnsi="David" w:cs="David"/>
          <w:b/>
          <w:bCs/>
          <w:sz w:val="24"/>
          <w:szCs w:val="24"/>
          <w:rtl/>
        </w:rPr>
        <w:t xml:space="preserve">המזונות בסך 2,500 ₪ </w:t>
      </w:r>
      <w:r w:rsidR="00932500">
        <w:rPr>
          <w:rFonts w:ascii="David" w:hAnsi="David" w:cs="David"/>
          <w:b/>
          <w:bCs/>
          <w:sz w:val="24"/>
          <w:szCs w:val="24"/>
          <w:rtl/>
        </w:rPr>
        <w:t>לחודש יהיו עד הגיע הבן</w:t>
      </w:r>
      <w:r w:rsidR="00932500">
        <w:rPr>
          <w:rFonts w:ascii="David" w:hAnsi="David" w:cs="David" w:hint="cs"/>
          <w:b/>
          <w:bCs/>
          <w:sz w:val="24"/>
          <w:szCs w:val="24"/>
          <w:rtl/>
        </w:rPr>
        <w:t xml:space="preserve"> [...]</w:t>
      </w:r>
      <w:r>
        <w:rPr>
          <w:rFonts w:ascii="David" w:hAnsi="David" w:cs="David"/>
          <w:b/>
          <w:bCs/>
          <w:sz w:val="24"/>
          <w:szCs w:val="24"/>
          <w:rtl/>
        </w:rPr>
        <w:t xml:space="preserve"> לגיל 18 או סיום התיכון לפי המאוחר שביניהם ובתקופת השי</w:t>
      </w:r>
      <w:r w:rsidR="005416AE">
        <w:rPr>
          <w:rFonts w:ascii="David" w:hAnsi="David" w:cs="David"/>
          <w:b/>
          <w:bCs/>
          <w:sz w:val="24"/>
          <w:szCs w:val="24"/>
          <w:rtl/>
        </w:rPr>
        <w:t>רות הצבאי הסדיר</w:t>
      </w:r>
      <w:r>
        <w:rPr>
          <w:rFonts w:ascii="David" w:hAnsi="David" w:cs="David"/>
          <w:b/>
          <w:bCs/>
          <w:sz w:val="24"/>
          <w:szCs w:val="24"/>
          <w:rtl/>
        </w:rPr>
        <w:t xml:space="preserve"> 1/3 מסכום המזונות. </w:t>
      </w:r>
    </w:p>
    <w:p w:rsidR="00FD766F" w:rsidRDefault="00FD766F" w:rsidP="00FD766F">
      <w:pPr>
        <w:pStyle w:val="ad"/>
        <w:spacing w:after="0" w:line="360" w:lineRule="auto"/>
        <w:ind w:left="1448" w:right="426"/>
        <w:jc w:val="both"/>
        <w:rPr>
          <w:rFonts w:ascii="David" w:hAnsi="David" w:cs="David"/>
          <w:b/>
          <w:bCs/>
          <w:sz w:val="24"/>
          <w:szCs w:val="24"/>
          <w:u w:val="single"/>
        </w:rPr>
      </w:pPr>
      <w:r>
        <w:rPr>
          <w:rFonts w:ascii="David" w:hAnsi="David" w:cs="David"/>
          <w:b/>
          <w:bCs/>
          <w:sz w:val="24"/>
          <w:szCs w:val="24"/>
          <w:rtl/>
        </w:rPr>
        <w:t xml:space="preserve">... </w:t>
      </w:r>
    </w:p>
    <w:p w:rsidR="00FD766F" w:rsidRDefault="00FD766F" w:rsidP="00FD766F">
      <w:pPr>
        <w:spacing w:line="360" w:lineRule="auto"/>
        <w:ind w:right="426" w:firstLine="720"/>
        <w:jc w:val="both"/>
        <w:rPr>
          <w:rFonts w:ascii="David" w:hAnsi="David"/>
          <w:b/>
          <w:bCs/>
          <w:u w:val="single"/>
        </w:rPr>
      </w:pPr>
      <w:r>
        <w:rPr>
          <w:rFonts w:ascii="David" w:hAnsi="David"/>
          <w:b/>
          <w:bCs/>
          <w:u w:val="single"/>
          <w:rtl/>
        </w:rPr>
        <w:t>ב"כ הצדדים</w:t>
      </w:r>
    </w:p>
    <w:p w:rsidR="00FD766F" w:rsidRDefault="00FD766F" w:rsidP="00FD766F">
      <w:pPr>
        <w:spacing w:line="360" w:lineRule="auto"/>
        <w:ind w:left="728" w:right="426"/>
        <w:jc w:val="both"/>
        <w:rPr>
          <w:rFonts w:ascii="David" w:hAnsi="David"/>
        </w:rPr>
      </w:pPr>
      <w:r>
        <w:rPr>
          <w:rFonts w:ascii="David" w:hAnsi="David"/>
          <w:b/>
          <w:bCs/>
          <w:rtl/>
        </w:rPr>
        <w:t>אנו מקבלים  את הצעת בית המשפט</w:t>
      </w:r>
      <w:r>
        <w:rPr>
          <w:rFonts w:ascii="David" w:hAnsi="David"/>
          <w:rtl/>
        </w:rPr>
        <w:t xml:space="preserve">" [תוספות בסוגריים אינן במקור]. </w:t>
      </w:r>
    </w:p>
    <w:p w:rsidR="00FD766F" w:rsidRDefault="00FD766F" w:rsidP="00FD766F">
      <w:pPr>
        <w:spacing w:line="360" w:lineRule="auto"/>
        <w:jc w:val="both"/>
        <w:rPr>
          <w:rFonts w:ascii="David" w:hAnsi="David"/>
          <w:rtl/>
        </w:rPr>
      </w:pPr>
    </w:p>
    <w:p w:rsidR="00FD766F" w:rsidRDefault="00FD766F" w:rsidP="00EC0E30">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עיון בפסק הדין משנת 2021 מלמד כי הצדדים הגיעו להסכמה על סכום מזונות מוסכם בסך של 2,500 ₪ (להלן: "</w:t>
      </w:r>
      <w:r>
        <w:rPr>
          <w:rFonts w:ascii="David" w:hAnsi="David" w:cs="David"/>
          <w:b/>
          <w:bCs/>
          <w:sz w:val="24"/>
          <w:szCs w:val="24"/>
          <w:rtl/>
        </w:rPr>
        <w:t>הסכום המוסכם</w:t>
      </w:r>
      <w:r>
        <w:rPr>
          <w:rFonts w:ascii="David" w:hAnsi="David" w:cs="David"/>
          <w:sz w:val="24"/>
          <w:szCs w:val="24"/>
          <w:rtl/>
        </w:rPr>
        <w:t>" או "</w:t>
      </w:r>
      <w:r>
        <w:rPr>
          <w:rFonts w:ascii="David" w:hAnsi="David" w:cs="David"/>
          <w:b/>
          <w:bCs/>
          <w:sz w:val="24"/>
          <w:szCs w:val="24"/>
          <w:rtl/>
        </w:rPr>
        <w:t>החיוב המוסכם</w:t>
      </w:r>
      <w:r>
        <w:rPr>
          <w:rFonts w:ascii="David" w:hAnsi="David" w:cs="David"/>
          <w:sz w:val="24"/>
          <w:szCs w:val="24"/>
          <w:rtl/>
        </w:rPr>
        <w:t xml:space="preserve">"), חלף הסכום שנקבע בפסק הדין משנת 2010. עוד הסכימו הצדדים על האופן בו יעודכן הסכום בתיק ההוצל"פ, לרבות מועד תחילת </w:t>
      </w:r>
      <w:r w:rsidR="00EC0E30">
        <w:rPr>
          <w:rFonts w:ascii="David" w:hAnsi="David" w:cs="David" w:hint="cs"/>
          <w:sz w:val="24"/>
          <w:szCs w:val="24"/>
          <w:rtl/>
        </w:rPr>
        <w:t>החישוב</w:t>
      </w:r>
      <w:r>
        <w:rPr>
          <w:rFonts w:ascii="David" w:hAnsi="David" w:cs="David"/>
          <w:sz w:val="24"/>
          <w:szCs w:val="24"/>
          <w:rtl/>
        </w:rPr>
        <w:t xml:space="preserve">. </w:t>
      </w:r>
    </w:p>
    <w:p w:rsidR="00FD766F" w:rsidRDefault="00FD766F" w:rsidP="00FD766F">
      <w:pPr>
        <w:pStyle w:val="ad"/>
        <w:spacing w:after="0" w:line="360" w:lineRule="auto"/>
        <w:ind w:left="368"/>
        <w:jc w:val="both"/>
        <w:rPr>
          <w:rFonts w:ascii="David" w:hAnsi="David" w:cs="David"/>
          <w:sz w:val="24"/>
          <w:szCs w:val="24"/>
        </w:rPr>
      </w:pPr>
    </w:p>
    <w:p w:rsidR="00FD766F" w:rsidRDefault="00FD766F" w:rsidP="00FD766F">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 xml:space="preserve">בעקבות פסק הדין משנת 2021 מונה בתיק ההוצל"פ מומחה (רו"ח) לצורך עריכת תחשיב בדבר יתרת החוב הנכונה. המומחה ערך חוות דעת שתוקנה ו/או הושלמה מספר פעמים. המומחה אף נחקר על חוות דעתו (ומטענות הצדדים עלה כי הוגשה נגדו תביעה אזרחית, עקב ליקויים ופגמים שנפלו לכאורה בחוות הדעת, אשר נדחתה על הסף בשל אי מיצוי הטענות במסגרת הליך ההוצל"פ). </w:t>
      </w:r>
    </w:p>
    <w:p w:rsidR="00FD766F" w:rsidRDefault="00FD766F" w:rsidP="00FD766F">
      <w:pPr>
        <w:pStyle w:val="ad"/>
        <w:spacing w:after="0" w:line="360" w:lineRule="auto"/>
        <w:ind w:left="368"/>
        <w:jc w:val="both"/>
        <w:rPr>
          <w:rFonts w:ascii="David" w:hAnsi="David" w:cs="David"/>
          <w:sz w:val="24"/>
          <w:szCs w:val="24"/>
        </w:rPr>
      </w:pPr>
    </w:p>
    <w:p w:rsidR="00FD766F" w:rsidRDefault="00FD766F" w:rsidP="00FD766F">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בהחלטתה המפורטת והמנומקת (המונה 60 סעיפים) קבעה כב' הרשמת כי חרף הפגמים השונים שאכן נפלו בחוות דעת המומחה, הרי שאין בהם משום עילה לפסילת חוות הדעת, שכן ניתן לרפאם באמצעות תיקון חוות הדעת. לפיכך נתנה כב' הרשמת שורה של הוראות למומחה (להלן: "</w:t>
      </w:r>
      <w:r>
        <w:rPr>
          <w:rFonts w:ascii="David" w:hAnsi="David" w:cs="David"/>
          <w:b/>
          <w:bCs/>
          <w:sz w:val="24"/>
          <w:szCs w:val="24"/>
          <w:rtl/>
        </w:rPr>
        <w:t>החלטת הרשמת נושא הערעורים</w:t>
      </w:r>
      <w:r>
        <w:rPr>
          <w:rFonts w:ascii="David" w:hAnsi="David" w:cs="David"/>
          <w:sz w:val="24"/>
          <w:szCs w:val="24"/>
          <w:rtl/>
        </w:rPr>
        <w:t xml:space="preserve">"). </w:t>
      </w:r>
    </w:p>
    <w:p w:rsidR="00FD766F" w:rsidRDefault="00FD766F" w:rsidP="00FD766F">
      <w:pPr>
        <w:pStyle w:val="ad"/>
        <w:spacing w:after="0" w:line="360" w:lineRule="auto"/>
        <w:ind w:left="368"/>
        <w:jc w:val="both"/>
        <w:rPr>
          <w:rFonts w:ascii="David" w:hAnsi="David" w:cs="David"/>
          <w:sz w:val="24"/>
          <w:szCs w:val="24"/>
        </w:rPr>
      </w:pPr>
    </w:p>
    <w:p w:rsidR="00FD766F" w:rsidRDefault="00FD766F" w:rsidP="00FD766F">
      <w:pPr>
        <w:pStyle w:val="ad"/>
        <w:spacing w:after="0" w:line="360" w:lineRule="auto"/>
        <w:ind w:left="368"/>
        <w:jc w:val="both"/>
        <w:rPr>
          <w:rFonts w:ascii="David" w:hAnsi="David" w:cs="David"/>
          <w:b/>
          <w:bCs/>
          <w:sz w:val="24"/>
          <w:szCs w:val="24"/>
          <w:u w:val="single"/>
        </w:rPr>
      </w:pPr>
      <w:r>
        <w:rPr>
          <w:rFonts w:ascii="David" w:hAnsi="David" w:cs="David"/>
          <w:b/>
          <w:bCs/>
          <w:sz w:val="24"/>
          <w:szCs w:val="24"/>
          <w:u w:val="single"/>
          <w:rtl/>
        </w:rPr>
        <w:t>ערעורה של האישה</w:t>
      </w:r>
    </w:p>
    <w:p w:rsidR="00FD766F" w:rsidRDefault="00FD766F" w:rsidP="00FD766F">
      <w:pPr>
        <w:pStyle w:val="ad"/>
        <w:spacing w:after="0" w:line="360" w:lineRule="auto"/>
        <w:ind w:left="368"/>
        <w:jc w:val="both"/>
        <w:rPr>
          <w:rFonts w:ascii="David" w:hAnsi="David" w:cs="David"/>
          <w:b/>
          <w:bCs/>
          <w:sz w:val="24"/>
          <w:szCs w:val="24"/>
          <w:u w:val="single"/>
          <w:rtl/>
        </w:rPr>
      </w:pPr>
    </w:p>
    <w:p w:rsidR="00FD766F" w:rsidRDefault="005416AE" w:rsidP="00EC0E30">
      <w:pPr>
        <w:pStyle w:val="ad"/>
        <w:numPr>
          <w:ilvl w:val="0"/>
          <w:numId w:val="1"/>
        </w:numPr>
        <w:spacing w:after="0" w:line="360" w:lineRule="auto"/>
        <w:ind w:left="368"/>
        <w:jc w:val="both"/>
        <w:rPr>
          <w:rFonts w:ascii="David" w:hAnsi="David" w:cs="David"/>
          <w:sz w:val="24"/>
          <w:szCs w:val="24"/>
          <w:rtl/>
        </w:rPr>
      </w:pPr>
      <w:r w:rsidRPr="00BC798A">
        <w:rPr>
          <w:rFonts w:ascii="David" w:hAnsi="David" w:cs="David" w:hint="cs"/>
          <w:sz w:val="24"/>
          <w:szCs w:val="24"/>
          <w:rtl/>
        </w:rPr>
        <w:t xml:space="preserve">יש להקדים ולציין כי במהלך תקופה כבת 3 שנים, </w:t>
      </w:r>
      <w:r w:rsidR="003965B4" w:rsidRPr="00BC798A">
        <w:rPr>
          <w:rFonts w:ascii="David" w:hAnsi="David" w:cs="David" w:hint="cs"/>
          <w:sz w:val="24"/>
          <w:szCs w:val="24"/>
          <w:rtl/>
        </w:rPr>
        <w:t xml:space="preserve">ובהתאם להחלטות שונות שניתנו </w:t>
      </w:r>
      <w:r w:rsidR="00EC0E30">
        <w:rPr>
          <w:rFonts w:ascii="David" w:hAnsi="David" w:cs="David" w:hint="cs"/>
          <w:sz w:val="24"/>
          <w:szCs w:val="24"/>
          <w:rtl/>
        </w:rPr>
        <w:t>בתיק ההוצל"פ</w:t>
      </w:r>
      <w:r w:rsidR="003965B4" w:rsidRPr="00BC798A">
        <w:rPr>
          <w:rFonts w:ascii="David" w:hAnsi="David" w:cs="David" w:hint="cs"/>
          <w:sz w:val="24"/>
          <w:szCs w:val="24"/>
          <w:rtl/>
        </w:rPr>
        <w:t>, לא הוגדלה קרן החוב בתיק. זהו הרקע לטענת האישה בערעורה דנן.</w:t>
      </w:r>
      <w:r w:rsidR="003965B4">
        <w:rPr>
          <w:rFonts w:ascii="David" w:hAnsi="David" w:cs="David" w:hint="cs"/>
          <w:sz w:val="24"/>
          <w:szCs w:val="24"/>
          <w:rtl/>
        </w:rPr>
        <w:t xml:space="preserve"> </w:t>
      </w:r>
      <w:r w:rsidR="00FD766F">
        <w:rPr>
          <w:rFonts w:ascii="David" w:hAnsi="David" w:cs="David"/>
          <w:sz w:val="24"/>
          <w:szCs w:val="24"/>
          <w:rtl/>
        </w:rPr>
        <w:t xml:space="preserve">האישה מלינה </w:t>
      </w:r>
      <w:r w:rsidR="003965B4">
        <w:rPr>
          <w:rFonts w:ascii="David" w:hAnsi="David" w:cs="David" w:hint="cs"/>
          <w:sz w:val="24"/>
          <w:szCs w:val="24"/>
          <w:rtl/>
        </w:rPr>
        <w:t xml:space="preserve">אפוא </w:t>
      </w:r>
      <w:r w:rsidR="00FD766F">
        <w:rPr>
          <w:rFonts w:ascii="David" w:hAnsi="David" w:cs="David"/>
          <w:sz w:val="24"/>
          <w:szCs w:val="24"/>
          <w:rtl/>
        </w:rPr>
        <w:t>על קביעות הרשמת בסעיפים 52, 53 ו-60ב להחלטה, שעניינן ביטול הגדלות החוב שביצע המומחה בגין מזונות בתקופה: 7/2017-6/2020 (להלן: "</w:t>
      </w:r>
      <w:r w:rsidR="00FD766F">
        <w:rPr>
          <w:rFonts w:ascii="David" w:hAnsi="David" w:cs="David"/>
          <w:b/>
          <w:bCs/>
          <w:sz w:val="24"/>
          <w:szCs w:val="24"/>
          <w:rtl/>
        </w:rPr>
        <w:t>התקופה שבמחלוקת</w:t>
      </w:r>
      <w:r w:rsidR="00FD766F">
        <w:rPr>
          <w:rFonts w:ascii="David" w:hAnsi="David" w:cs="David"/>
          <w:sz w:val="24"/>
          <w:szCs w:val="24"/>
          <w:rtl/>
        </w:rPr>
        <w:t>"), תקופה בה בפועל לא הוגדלה קרן החוב בתיק ההוצל"פ</w:t>
      </w:r>
      <w:r w:rsidR="003965B4">
        <w:rPr>
          <w:rFonts w:ascii="David" w:hAnsi="David" w:cs="David" w:hint="cs"/>
          <w:sz w:val="24"/>
          <w:szCs w:val="24"/>
          <w:rtl/>
        </w:rPr>
        <w:t xml:space="preserve"> כאמור</w:t>
      </w:r>
      <w:r w:rsidR="00FD766F">
        <w:rPr>
          <w:rFonts w:ascii="David" w:hAnsi="David" w:cs="David"/>
          <w:sz w:val="24"/>
          <w:szCs w:val="24"/>
          <w:rtl/>
        </w:rPr>
        <w:t xml:space="preserve">. הרשמת קיבלה את עמדת האיש לפיה המנדט </w:t>
      </w:r>
      <w:r w:rsidR="00FD766F">
        <w:rPr>
          <w:rFonts w:ascii="David" w:hAnsi="David" w:cs="David"/>
          <w:sz w:val="24"/>
          <w:szCs w:val="24"/>
          <w:rtl/>
        </w:rPr>
        <w:lastRenderedPageBreak/>
        <w:t xml:space="preserve">שניתן למומחה בפסק הדין משנת 2021 היה לעדכן את החוב בתיק ההוצל"פ על בסיס הגדלות והקטנות חוב שבוצעו בו בפועל, תוך התאמת הסכומים לפסק הדין שניתן בשנת 2021. </w:t>
      </w:r>
    </w:p>
    <w:p w:rsidR="00FD766F" w:rsidRDefault="00FD766F" w:rsidP="00FD766F">
      <w:pPr>
        <w:pStyle w:val="ad"/>
        <w:spacing w:after="0" w:line="360" w:lineRule="auto"/>
        <w:ind w:left="368"/>
        <w:jc w:val="both"/>
        <w:rPr>
          <w:rFonts w:ascii="David" w:hAnsi="David" w:cs="David"/>
          <w:sz w:val="24"/>
          <w:szCs w:val="24"/>
        </w:rPr>
      </w:pPr>
    </w:p>
    <w:p w:rsidR="00FD766F" w:rsidRDefault="00FD766F" w:rsidP="00FD766F">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לטענת האישה בערעורה, מטרת הצעת ביהמ"ש בדיון בשנת 2021 היתה להביא לסיום כולל של ההתדיינויות המרובות והממושכות בין הצדדים. בכלל זה היה מוסמך המומחה לבצע תחשיב "אמיתי" של חוב המזונות על סמך כלל פסקי הדין הרלוונטיים, בין אם עודכנו החיובים בתיק ההוצל"פ ובין אם לאו. לטענתה הסיבה בגינה לא הוגדל החוב בתקופה שבמחלוקת נבעה מהחלטת רשמת ההוצל"פ בעבר על הקפאת הקרן השוטפת עקב אי דיווח מצדה של האישה על תשלומים ששולמו לה במועד הקבוע בדין. לדידה, לא ניתן לראות בכך משום ויתור על מזונות לתקופה הנ"ל. לפיכך עותרת האישה להתערב בהחלטת הרשמת ולקבל את חוות דעת המומחה אשר כללה את החיובים הנ"ל.</w:t>
      </w:r>
    </w:p>
    <w:p w:rsidR="00FD766F" w:rsidRDefault="00FD766F" w:rsidP="00FD766F">
      <w:pPr>
        <w:pStyle w:val="ad"/>
        <w:rPr>
          <w:rFonts w:ascii="David" w:hAnsi="David" w:cs="David"/>
          <w:sz w:val="24"/>
          <w:szCs w:val="24"/>
        </w:rPr>
      </w:pPr>
    </w:p>
    <w:p w:rsidR="00FD766F" w:rsidRDefault="00FD766F" w:rsidP="00EC0E30">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האיש בתשובתו טען כי המערערת התרשלה בכך שלא פעלה להגדלת החוב בגין דמי המזונות בתקופה שבמחלוקת ואין לה להלין אלא על עצמה. בגין העובדה שהאישה לא דאגה לדווח במועד על תשלומי האיש, הוקפאה בשעתו </w:t>
      </w:r>
      <w:r w:rsidR="003965B4">
        <w:rPr>
          <w:rFonts w:ascii="David" w:hAnsi="David" w:cs="David" w:hint="cs"/>
          <w:sz w:val="24"/>
          <w:szCs w:val="24"/>
          <w:rtl/>
        </w:rPr>
        <w:t xml:space="preserve">הגדלת </w:t>
      </w:r>
      <w:r>
        <w:rPr>
          <w:rFonts w:ascii="David" w:hAnsi="David" w:cs="David"/>
          <w:sz w:val="24"/>
          <w:szCs w:val="24"/>
          <w:rtl/>
        </w:rPr>
        <w:t xml:space="preserve">הקרן השוטפת ואף הושתו על האישה הוצאות. </w:t>
      </w:r>
      <w:r w:rsidR="00EC0E30">
        <w:rPr>
          <w:rFonts w:ascii="David" w:hAnsi="David" w:cs="David" w:hint="cs"/>
          <w:sz w:val="24"/>
          <w:szCs w:val="24"/>
          <w:rtl/>
        </w:rPr>
        <w:t>ב</w:t>
      </w:r>
      <w:r>
        <w:rPr>
          <w:rFonts w:ascii="David" w:hAnsi="David" w:cs="David"/>
          <w:sz w:val="24"/>
          <w:szCs w:val="24"/>
          <w:rtl/>
        </w:rPr>
        <w:t xml:space="preserve">פסק הדין משנת 2021 הוסכם כי </w:t>
      </w:r>
      <w:r w:rsidR="00EC0E30">
        <w:rPr>
          <w:rFonts w:ascii="David" w:hAnsi="David" w:cs="David" w:hint="cs"/>
          <w:sz w:val="24"/>
          <w:szCs w:val="24"/>
          <w:rtl/>
        </w:rPr>
        <w:t>סכום המזונות</w:t>
      </w:r>
      <w:r>
        <w:rPr>
          <w:rFonts w:ascii="David" w:hAnsi="David" w:cs="David"/>
          <w:sz w:val="24"/>
          <w:szCs w:val="24"/>
          <w:rtl/>
        </w:rPr>
        <w:t xml:space="preserve"> יעמוד ע"ס של 2,500 ₪ חלף סך של 5,271 ₪ </w:t>
      </w:r>
      <w:r w:rsidR="00EC0E30">
        <w:rPr>
          <w:rFonts w:ascii="David" w:hAnsi="David" w:cs="David" w:hint="cs"/>
          <w:sz w:val="24"/>
          <w:szCs w:val="24"/>
          <w:rtl/>
        </w:rPr>
        <w:t>ואת זאת היה צריך לעדכן</w:t>
      </w:r>
      <w:r>
        <w:rPr>
          <w:rFonts w:ascii="David" w:hAnsi="David" w:cs="David"/>
          <w:sz w:val="24"/>
          <w:szCs w:val="24"/>
          <w:rtl/>
        </w:rPr>
        <w:t xml:space="preserve"> בתיק ההוצל"פ. לשיטת האיש, תפקידו של המומחה היה "</w:t>
      </w:r>
      <w:r>
        <w:rPr>
          <w:rFonts w:ascii="David" w:hAnsi="David" w:cs="David"/>
          <w:b/>
          <w:bCs/>
          <w:sz w:val="24"/>
          <w:szCs w:val="24"/>
          <w:rtl/>
        </w:rPr>
        <w:t>טכני בלבד: החלפת חיובים חודשיים רשומים, בסכום של 2,500 ₪ החל מחודש 02.2012 וחישוב היתרה</w:t>
      </w:r>
      <w:r>
        <w:rPr>
          <w:rFonts w:ascii="David" w:hAnsi="David" w:cs="David"/>
          <w:sz w:val="24"/>
          <w:szCs w:val="24"/>
          <w:rtl/>
        </w:rPr>
        <w:t xml:space="preserve">". לדידו, המומחה לא היה מוסמך לכלול בתחשיבו מזונות שלא הוגדלו בפועל בתיק ההוצל"פ. </w:t>
      </w:r>
    </w:p>
    <w:p w:rsidR="00FD766F" w:rsidRDefault="00FD766F" w:rsidP="00FD766F">
      <w:pPr>
        <w:pStyle w:val="ad"/>
        <w:rPr>
          <w:rFonts w:ascii="David" w:hAnsi="David" w:cs="David"/>
          <w:sz w:val="24"/>
          <w:szCs w:val="24"/>
        </w:rPr>
      </w:pPr>
    </w:p>
    <w:p w:rsidR="00FD766F" w:rsidRDefault="00FD766F" w:rsidP="00A31E09">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האיש מציין עוד כי המומחה נדרש לתקן את חוות דעתו מספר פעמים. פעם אחר פעם נדחו בקשות האישה להגדלת החוב בתיק ההוצל"פ לתקופה שבמחלוקת בגין אי ביצוע הוראות הרשמת ולא הוגש ערעור על ההחלטות. האישה אף נקטה שיהוי ממושך של כשנתיים מאז מתן ההחלטות והתיק היה אמור להיסגר מפאת חוסר מעש. בהתנהלותה הוכיחה האישה כי לא היתה זקוקה לדמי המזונות כדי לממן את הוצאות מחיית הבן, אשר שהה בפנימייה, עבד והשתכר. במסגרת </w:t>
      </w:r>
      <w:r w:rsidR="00A31E09" w:rsidRPr="00BC798A">
        <w:rPr>
          <w:rFonts w:ascii="David" w:hAnsi="David" w:cs="David" w:hint="cs"/>
          <w:sz w:val="24"/>
          <w:szCs w:val="24"/>
          <w:rtl/>
        </w:rPr>
        <w:t>תביעתו להפחתת מזונות</w:t>
      </w:r>
      <w:r w:rsidRPr="00BC798A">
        <w:rPr>
          <w:rFonts w:ascii="David" w:hAnsi="David" w:cs="David"/>
          <w:sz w:val="24"/>
          <w:szCs w:val="24"/>
          <w:rtl/>
        </w:rPr>
        <w:t xml:space="preserve"> שב</w:t>
      </w:r>
      <w:r w:rsidR="00A31E09" w:rsidRPr="00BC798A">
        <w:rPr>
          <w:rFonts w:ascii="David" w:hAnsi="David" w:cs="David" w:hint="cs"/>
          <w:sz w:val="24"/>
          <w:szCs w:val="24"/>
          <w:rtl/>
        </w:rPr>
        <w:t>מסגרתה</w:t>
      </w:r>
      <w:r>
        <w:rPr>
          <w:rFonts w:ascii="David" w:hAnsi="David" w:cs="David"/>
          <w:sz w:val="24"/>
          <w:szCs w:val="24"/>
          <w:rtl/>
        </w:rPr>
        <w:t xml:space="preserve"> ניתן פסק הדין בשנת 2021</w:t>
      </w:r>
      <w:r w:rsidR="00A31E09">
        <w:rPr>
          <w:rFonts w:ascii="David" w:hAnsi="David" w:cs="David" w:hint="cs"/>
          <w:sz w:val="24"/>
          <w:szCs w:val="24"/>
          <w:rtl/>
        </w:rPr>
        <w:t>,</w:t>
      </w:r>
      <w:r>
        <w:rPr>
          <w:rFonts w:ascii="David" w:hAnsi="David" w:cs="David"/>
          <w:sz w:val="24"/>
          <w:szCs w:val="24"/>
          <w:rtl/>
        </w:rPr>
        <w:t xml:space="preserve"> </w:t>
      </w:r>
      <w:r w:rsidR="00A31E09">
        <w:rPr>
          <w:rFonts w:ascii="David" w:hAnsi="David" w:cs="David" w:hint="cs"/>
          <w:sz w:val="24"/>
          <w:szCs w:val="24"/>
          <w:rtl/>
        </w:rPr>
        <w:t xml:space="preserve">האישה </w:t>
      </w:r>
      <w:r>
        <w:rPr>
          <w:rFonts w:ascii="David" w:hAnsi="David" w:cs="David"/>
          <w:sz w:val="24"/>
          <w:szCs w:val="24"/>
          <w:rtl/>
        </w:rPr>
        <w:t>לא טענה כי קיימת טעות ברישומי תיק ההוצל"פ.</w:t>
      </w:r>
    </w:p>
    <w:p w:rsidR="00FD766F" w:rsidRDefault="00FD766F" w:rsidP="00FD766F">
      <w:pPr>
        <w:pStyle w:val="ad"/>
        <w:rPr>
          <w:rFonts w:ascii="David" w:hAnsi="David" w:cs="David"/>
          <w:sz w:val="24"/>
          <w:szCs w:val="24"/>
        </w:rPr>
      </w:pPr>
    </w:p>
    <w:p w:rsidR="00FD766F" w:rsidRPr="00BC798A" w:rsidRDefault="00FD766F" w:rsidP="00BC798A">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יצוין כי בד בבד </w:t>
      </w:r>
      <w:r w:rsidR="00A31E09">
        <w:rPr>
          <w:rFonts w:ascii="David" w:hAnsi="David" w:cs="David" w:hint="cs"/>
          <w:sz w:val="24"/>
          <w:szCs w:val="24"/>
          <w:rtl/>
        </w:rPr>
        <w:t xml:space="preserve">עם ערעורה דנן, </w:t>
      </w:r>
      <w:r>
        <w:rPr>
          <w:rFonts w:ascii="David" w:hAnsi="David" w:cs="David"/>
          <w:sz w:val="24"/>
          <w:szCs w:val="24"/>
          <w:rtl/>
        </w:rPr>
        <w:t>הגישה האישה תביעה למתן היתר לגביית מזונות לתקופ</w:t>
      </w:r>
      <w:r w:rsidR="00BC798A">
        <w:rPr>
          <w:rFonts w:ascii="David" w:hAnsi="David" w:cs="David" w:hint="cs"/>
          <w:sz w:val="24"/>
          <w:szCs w:val="24"/>
          <w:rtl/>
        </w:rPr>
        <w:t xml:space="preserve">ה שבמחלוקת, </w:t>
      </w:r>
      <w:r w:rsidRPr="00BC798A">
        <w:rPr>
          <w:rFonts w:ascii="David" w:hAnsi="David" w:cs="David"/>
          <w:sz w:val="24"/>
          <w:szCs w:val="24"/>
          <w:rtl/>
        </w:rPr>
        <w:t xml:space="preserve">שטרם נדונה לאור ההסכמה </w:t>
      </w:r>
      <w:r w:rsidR="00A31E09" w:rsidRPr="00BC798A">
        <w:rPr>
          <w:rFonts w:ascii="David" w:hAnsi="David" w:cs="David" w:hint="cs"/>
          <w:sz w:val="24"/>
          <w:szCs w:val="24"/>
          <w:rtl/>
        </w:rPr>
        <w:t xml:space="preserve">הדיונית </w:t>
      </w:r>
      <w:r w:rsidRPr="00BC798A">
        <w:rPr>
          <w:rFonts w:ascii="David" w:hAnsi="David" w:cs="David"/>
          <w:sz w:val="24"/>
          <w:szCs w:val="24"/>
          <w:rtl/>
        </w:rPr>
        <w:t>לדון תחילה בערעורים (תלה"מ 42723-07-23</w:t>
      </w:r>
      <w:r w:rsidR="00A31E09" w:rsidRPr="00BC798A">
        <w:rPr>
          <w:rFonts w:ascii="David" w:hAnsi="David" w:cs="David" w:hint="cs"/>
          <w:sz w:val="24"/>
          <w:szCs w:val="24"/>
          <w:rtl/>
        </w:rPr>
        <w:t xml:space="preserve"> כנקוב בראש פסק הדין</w:t>
      </w:r>
      <w:r w:rsidRPr="00BC798A">
        <w:rPr>
          <w:rFonts w:ascii="David" w:hAnsi="David" w:cs="David"/>
          <w:sz w:val="24"/>
          <w:szCs w:val="24"/>
          <w:rtl/>
        </w:rPr>
        <w:t>).</w:t>
      </w:r>
    </w:p>
    <w:p w:rsidR="00FD766F" w:rsidRDefault="00FD766F" w:rsidP="00FD766F">
      <w:pPr>
        <w:spacing w:line="360" w:lineRule="auto"/>
        <w:ind w:firstLine="368"/>
        <w:jc w:val="both"/>
        <w:rPr>
          <w:rFonts w:ascii="David" w:hAnsi="David"/>
          <w:b/>
          <w:bCs/>
          <w:u w:val="single"/>
        </w:rPr>
      </w:pPr>
    </w:p>
    <w:p w:rsidR="00FD766F" w:rsidRDefault="00FD766F" w:rsidP="00FD766F">
      <w:pPr>
        <w:spacing w:line="360" w:lineRule="auto"/>
        <w:ind w:firstLine="368"/>
        <w:jc w:val="both"/>
        <w:rPr>
          <w:rFonts w:ascii="David" w:hAnsi="David"/>
          <w:b/>
          <w:bCs/>
          <w:u w:val="single"/>
          <w:rtl/>
        </w:rPr>
      </w:pPr>
      <w:r>
        <w:rPr>
          <w:rFonts w:ascii="David" w:hAnsi="David"/>
          <w:b/>
          <w:bCs/>
          <w:u w:val="single"/>
          <w:rtl/>
        </w:rPr>
        <w:t>ערעורו של האיש</w:t>
      </w:r>
    </w:p>
    <w:p w:rsidR="00FD766F" w:rsidRDefault="00FD766F" w:rsidP="00FD766F">
      <w:pPr>
        <w:spacing w:line="360" w:lineRule="auto"/>
        <w:jc w:val="both"/>
        <w:rPr>
          <w:rFonts w:ascii="David" w:hAnsi="David"/>
          <w:rtl/>
        </w:rPr>
      </w:pPr>
    </w:p>
    <w:p w:rsidR="00FD766F" w:rsidRDefault="00FD766F" w:rsidP="00932500">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lastRenderedPageBreak/>
        <w:t>יצוין כי בתחילה נפר</w:t>
      </w:r>
      <w:r w:rsidR="00932500">
        <w:rPr>
          <w:rFonts w:ascii="David" w:hAnsi="David" w:cs="David" w:hint="cs"/>
          <w:sz w:val="24"/>
          <w:szCs w:val="24"/>
          <w:rtl/>
        </w:rPr>
        <w:t>ש</w:t>
      </w:r>
      <w:r>
        <w:rPr>
          <w:rFonts w:ascii="David" w:hAnsi="David" w:cs="David"/>
          <w:sz w:val="24"/>
          <w:szCs w:val="24"/>
          <w:rtl/>
        </w:rPr>
        <w:t xml:space="preserve"> הערעור על פני טענות רבות, חלקן נוגע להתנהלות המומחה ולעלויות שהיו כרוכות במינויו, אולם בסופו של יום הצטמצמו הטענות בערעור לשתי טענות מרכזיות אשר תפורטנה להלן. </w:t>
      </w:r>
    </w:p>
    <w:p w:rsidR="00FD766F" w:rsidRDefault="00FD766F" w:rsidP="00FD766F">
      <w:pPr>
        <w:pStyle w:val="ad"/>
        <w:spacing w:after="0" w:line="360" w:lineRule="auto"/>
        <w:ind w:left="368"/>
        <w:jc w:val="both"/>
        <w:rPr>
          <w:rFonts w:ascii="David" w:hAnsi="David" w:cs="David"/>
          <w:sz w:val="24"/>
          <w:szCs w:val="24"/>
        </w:rPr>
      </w:pPr>
    </w:p>
    <w:p w:rsidR="00FD766F" w:rsidRDefault="00FD766F" w:rsidP="00FD766F">
      <w:pPr>
        <w:pStyle w:val="ad"/>
        <w:numPr>
          <w:ilvl w:val="0"/>
          <w:numId w:val="1"/>
        </w:numPr>
        <w:spacing w:after="0" w:line="360" w:lineRule="auto"/>
        <w:ind w:left="368"/>
        <w:jc w:val="both"/>
        <w:rPr>
          <w:rFonts w:ascii="David" w:hAnsi="David" w:cs="David"/>
          <w:sz w:val="24"/>
          <w:szCs w:val="24"/>
        </w:rPr>
      </w:pPr>
      <w:r w:rsidRPr="00EC0E30">
        <w:rPr>
          <w:rFonts w:ascii="David" w:hAnsi="David" w:cs="David"/>
          <w:sz w:val="24"/>
          <w:szCs w:val="24"/>
          <w:rtl/>
        </w:rPr>
        <w:t>הטענה הראשונה</w:t>
      </w:r>
      <w:r>
        <w:rPr>
          <w:rFonts w:ascii="David" w:hAnsi="David" w:cs="David"/>
          <w:sz w:val="24"/>
          <w:szCs w:val="24"/>
          <w:rtl/>
        </w:rPr>
        <w:t xml:space="preserve"> היא כי שגתה כב' הרשמת עת קבעה בסעיפים 44 ו- 46 להחלטתה, כי המועד ממנו יעודכן ויחושב הסכום המוסכם הוא המועד בו עודכן בתיק ההוצל"פ פסק הדין משנת 2010 ולא המועד שנקבע בפסק הדין בערעור (16.2.2012). לטענת האיש, הוראות ביהמ"ש המחוזי בערעור במסגרתן נקבע כי פסק הדין משנת 2010 ייכנס לתוקפו רק ביום 16.2.2012, עומדות בעינן והסכום עליו הוסכם בפסק הדין משנת 2021 לא יכול להיות מיושם קודם למועד הנ"ל. </w:t>
      </w:r>
    </w:p>
    <w:p w:rsidR="00FD766F" w:rsidRDefault="00FD766F" w:rsidP="00FD766F">
      <w:pPr>
        <w:pStyle w:val="ad"/>
        <w:spacing w:after="0" w:line="360" w:lineRule="auto"/>
        <w:ind w:left="368"/>
        <w:jc w:val="both"/>
        <w:rPr>
          <w:rFonts w:ascii="David" w:hAnsi="David" w:cs="David"/>
          <w:sz w:val="24"/>
          <w:szCs w:val="24"/>
        </w:rPr>
      </w:pPr>
    </w:p>
    <w:p w:rsidR="00FD766F" w:rsidRDefault="00FD766F" w:rsidP="00FD766F">
      <w:pPr>
        <w:pStyle w:val="ad"/>
        <w:numPr>
          <w:ilvl w:val="0"/>
          <w:numId w:val="1"/>
        </w:numPr>
        <w:spacing w:after="0" w:line="360" w:lineRule="auto"/>
        <w:ind w:left="368"/>
        <w:jc w:val="both"/>
        <w:rPr>
          <w:rFonts w:ascii="David" w:hAnsi="David" w:cs="David"/>
          <w:sz w:val="24"/>
          <w:szCs w:val="24"/>
        </w:rPr>
      </w:pPr>
      <w:r w:rsidRPr="00EC0E30">
        <w:rPr>
          <w:rFonts w:ascii="David" w:hAnsi="David" w:cs="David"/>
          <w:sz w:val="24"/>
          <w:szCs w:val="24"/>
          <w:rtl/>
        </w:rPr>
        <w:t>הטענה השנייה</w:t>
      </w:r>
      <w:r>
        <w:rPr>
          <w:rFonts w:ascii="David" w:hAnsi="David" w:cs="David"/>
          <w:sz w:val="24"/>
          <w:szCs w:val="24"/>
          <w:rtl/>
        </w:rPr>
        <w:t xml:space="preserve"> היא כי שגתה כב' הרשמת בסעיפים 55 ו- 57 להחלטתה, עת קבעה כי לסכום עליו הוסכם בפסק הדין משנת 2021 יתווספו הפרשי ריבית והצמדה, בעוד שלטענת האיש הוסכם על חיוב קבוע ונומינאלי. חיזוק לטענתו מוצא האיש בכך שבתביעתה של האישה לחיוב האיש במזונות הבן הבגיר בתום לימודי התיכון ציינה סכום "אבסולוטי" של 2,500 ₪ ללא הצמדה וכך גם בתביעתה לחיוב במזונות בתקופת לימודי י"ג –י"ד של הבן. </w:t>
      </w:r>
      <w:r w:rsidR="00A31E09">
        <w:rPr>
          <w:rFonts w:ascii="David" w:hAnsi="David" w:cs="David" w:hint="cs"/>
          <w:sz w:val="24"/>
          <w:szCs w:val="24"/>
          <w:rtl/>
        </w:rPr>
        <w:t xml:space="preserve">לדבריו </w:t>
      </w:r>
      <w:r>
        <w:rPr>
          <w:rFonts w:ascii="David" w:hAnsi="David" w:cs="David"/>
          <w:sz w:val="24"/>
          <w:szCs w:val="24"/>
          <w:rtl/>
        </w:rPr>
        <w:t>אף בחישוב המזונות לתקופת הצבא ציינה סכום נומינאלי של 2,500 ₪</w:t>
      </w:r>
      <w:r w:rsidR="00EC0E30">
        <w:rPr>
          <w:rFonts w:ascii="David" w:hAnsi="David" w:cs="David" w:hint="cs"/>
          <w:sz w:val="24"/>
          <w:szCs w:val="24"/>
          <w:rtl/>
        </w:rPr>
        <w:t xml:space="preserve"> וכך גם בבקשותיה להגדלת חוב בתיק ההוצל"פ בתקופה שבמחלוקת</w:t>
      </w:r>
      <w:r>
        <w:rPr>
          <w:rFonts w:ascii="David" w:hAnsi="David" w:cs="David"/>
          <w:sz w:val="24"/>
          <w:szCs w:val="24"/>
          <w:rtl/>
        </w:rPr>
        <w:t xml:space="preserve">. </w:t>
      </w:r>
    </w:p>
    <w:p w:rsidR="00FD766F" w:rsidRDefault="00FD766F" w:rsidP="00FD766F">
      <w:pPr>
        <w:pStyle w:val="ad"/>
        <w:rPr>
          <w:rFonts w:ascii="David" w:hAnsi="David" w:cs="David"/>
          <w:sz w:val="24"/>
          <w:szCs w:val="24"/>
        </w:rPr>
      </w:pPr>
    </w:p>
    <w:p w:rsidR="00FD766F" w:rsidRDefault="00FD766F" w:rsidP="00FD766F">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u w:val="single"/>
          <w:rtl/>
        </w:rPr>
        <w:t>האישה בתשובתה</w:t>
      </w:r>
      <w:r>
        <w:rPr>
          <w:rFonts w:ascii="David" w:hAnsi="David" w:cs="David"/>
          <w:sz w:val="24"/>
          <w:szCs w:val="24"/>
          <w:u w:val="single"/>
          <w:rtl/>
        </w:rPr>
        <w:softHyphen/>
      </w:r>
      <w:r>
        <w:rPr>
          <w:rFonts w:ascii="David" w:hAnsi="David" w:cs="David"/>
          <w:sz w:val="24"/>
          <w:szCs w:val="24"/>
          <w:rtl/>
        </w:rPr>
        <w:t xml:space="preserve"> עמדה על כך שערעור האיש הוגש באיחור ניכר ומבלי שהוגשה בקשה להארכת מועד ועל כן דינו להידחות ולו מטעם זה בלבד. לגופם של דברים נטען, בין היתר, כי אין להתערב בהחלטת הרשמת לעניין מועד עדכון החיוב המוסכם וכי החיוב המוסכם לא ביטל את יתר הוראות פסק הדין משנת 2010, לרבות לעניין ההצמדה, והדברים מתיישבים עם טענותיו של האיש בסיכומיו בפני הרשמת. </w:t>
      </w:r>
      <w:r w:rsidR="00EC0E30">
        <w:rPr>
          <w:rFonts w:ascii="David" w:hAnsi="David" w:cs="David" w:hint="cs"/>
          <w:sz w:val="24"/>
          <w:szCs w:val="24"/>
          <w:rtl/>
        </w:rPr>
        <w:t>אין להקיש מניסוח בקשותיה/תביעותיה במסגרתן ציינה סכום קבוע ללא תוספת הפרשי הצמדה, כי ויתרה על הפרשי ההצמדה.</w:t>
      </w:r>
    </w:p>
    <w:p w:rsidR="00FD766F" w:rsidRDefault="00FD766F" w:rsidP="00FD766F">
      <w:pPr>
        <w:pStyle w:val="ad"/>
        <w:rPr>
          <w:rFonts w:ascii="David" w:hAnsi="David" w:cs="David"/>
          <w:sz w:val="24"/>
          <w:szCs w:val="24"/>
        </w:rPr>
      </w:pPr>
    </w:p>
    <w:p w:rsidR="00FD766F" w:rsidRDefault="00FD766F" w:rsidP="00A31E09">
      <w:pPr>
        <w:rPr>
          <w:rFonts w:ascii="David" w:hAnsi="David"/>
          <w:b/>
          <w:bCs/>
          <w:u w:val="single"/>
          <w:rtl/>
        </w:rPr>
      </w:pPr>
      <w:r>
        <w:rPr>
          <w:rFonts w:ascii="David" w:hAnsi="David"/>
          <w:b/>
          <w:bCs/>
          <w:u w:val="single"/>
          <w:rtl/>
        </w:rPr>
        <w:t>הדיונים ש</w:t>
      </w:r>
      <w:r w:rsidR="00A31E09">
        <w:rPr>
          <w:rFonts w:ascii="David" w:hAnsi="David" w:hint="cs"/>
          <w:b/>
          <w:bCs/>
          <w:u w:val="single"/>
          <w:rtl/>
        </w:rPr>
        <w:t xml:space="preserve">התקיימו </w:t>
      </w:r>
      <w:r>
        <w:rPr>
          <w:rFonts w:ascii="David" w:hAnsi="David"/>
          <w:b/>
          <w:bCs/>
          <w:u w:val="single"/>
          <w:rtl/>
        </w:rPr>
        <w:t>במעמד הצדדים</w:t>
      </w:r>
    </w:p>
    <w:p w:rsidR="00A31E09" w:rsidRDefault="00A31E09" w:rsidP="00FD766F">
      <w:pPr>
        <w:rPr>
          <w:rFonts w:ascii="David" w:hAnsi="David"/>
          <w:b/>
          <w:bCs/>
          <w:u w:val="single"/>
          <w:rtl/>
        </w:rPr>
      </w:pPr>
    </w:p>
    <w:p w:rsidR="00FD766F" w:rsidRDefault="00FD766F" w:rsidP="00FD766F">
      <w:pPr>
        <w:rPr>
          <w:rFonts w:ascii="David" w:hAnsi="David"/>
          <w:rtl/>
        </w:rPr>
      </w:pPr>
    </w:p>
    <w:p w:rsidR="00FD766F" w:rsidRDefault="00FD766F" w:rsidP="00FD766F">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בשני דיונים שנערכו בפניי נעשה מאמץ להוביל את הצדדים למתווה מוסכם, אך ניסיון זה לא צלח. הצדדים חזרו במעמד הדיונים על טענותיהם בכתובים. </w:t>
      </w:r>
    </w:p>
    <w:p w:rsidR="00FD766F" w:rsidRDefault="00FD766F" w:rsidP="00FD766F">
      <w:pPr>
        <w:pStyle w:val="ad"/>
        <w:spacing w:after="0" w:line="360" w:lineRule="auto"/>
        <w:ind w:left="368"/>
        <w:jc w:val="both"/>
        <w:rPr>
          <w:rFonts w:ascii="David" w:hAnsi="David" w:cs="David"/>
          <w:sz w:val="24"/>
          <w:szCs w:val="24"/>
        </w:rPr>
      </w:pPr>
    </w:p>
    <w:p w:rsidR="00FD766F" w:rsidRDefault="00FD766F" w:rsidP="00FD766F">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 xml:space="preserve">האישה טענה ביחס לערעורה כי היא לא ויתרה על המזונות בתקופה שבמחלוקת וכי ההסכמות בדיון בשנת 2021 נועדו להביא לסיום כולל של המחלוקת. הסיבה בגינה לא הוגדל החוב היא שכנראה "זה נפל בין הכיסאות אצל עוה"ד" וכי מדובר בכספים שנדרשו לגידול הבן. האיש טען מנגד כי ניתנו מספר החלטות שהורו לאישה כיצד לפעול לצורך חידוש הקרן השוטפת/הגדלת </w:t>
      </w:r>
      <w:r>
        <w:rPr>
          <w:rFonts w:ascii="David" w:hAnsi="David" w:cs="David"/>
          <w:sz w:val="24"/>
          <w:szCs w:val="24"/>
          <w:rtl/>
        </w:rPr>
        <w:lastRenderedPageBreak/>
        <w:t xml:space="preserve">החוב בגין התקופה שבמחלוקת אך היא לא פעלה על פיהן ולא ערערה עליהן ועל כן אין לה </w:t>
      </w:r>
      <w:r w:rsidR="00AD46CB">
        <w:rPr>
          <w:rFonts w:ascii="David" w:hAnsi="David" w:cs="David" w:hint="cs"/>
          <w:sz w:val="24"/>
          <w:szCs w:val="24"/>
          <w:rtl/>
        </w:rPr>
        <w:t xml:space="preserve">אלא </w:t>
      </w:r>
      <w:r>
        <w:rPr>
          <w:rFonts w:ascii="David" w:hAnsi="David" w:cs="David"/>
          <w:sz w:val="24"/>
          <w:szCs w:val="24"/>
          <w:rtl/>
        </w:rPr>
        <w:t xml:space="preserve">להלין אלא על עצמה. </w:t>
      </w:r>
    </w:p>
    <w:p w:rsidR="00FD766F" w:rsidRPr="00AD46CB" w:rsidRDefault="00FD766F" w:rsidP="00FD766F">
      <w:pPr>
        <w:pStyle w:val="ad"/>
        <w:spacing w:after="0" w:line="360" w:lineRule="auto"/>
        <w:ind w:left="368"/>
        <w:jc w:val="both"/>
        <w:rPr>
          <w:rFonts w:ascii="David" w:hAnsi="David" w:cs="David"/>
          <w:sz w:val="24"/>
          <w:szCs w:val="24"/>
        </w:rPr>
      </w:pPr>
    </w:p>
    <w:p w:rsidR="00FD766F" w:rsidRDefault="00FD766F" w:rsidP="00FD766F">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 xml:space="preserve">האיש הבהיר כי מטעמי יעילות ערעורו מתמקד בשני נושאים כאמור. הוא חזר על כלל טענותיו לרבות לעניין גובה החיוב בתקופה שעד לחודש 1/2012, אשר לדידו לא ניתן לשנותו מכפי שנפסק בפסק הדין בערעור. </w:t>
      </w:r>
    </w:p>
    <w:p w:rsidR="00FD766F" w:rsidRDefault="00FD766F" w:rsidP="00FD766F">
      <w:pPr>
        <w:rPr>
          <w:rFonts w:ascii="David" w:hAnsi="David"/>
          <w:b/>
          <w:bCs/>
          <w:u w:val="single"/>
          <w:rtl/>
        </w:rPr>
      </w:pPr>
    </w:p>
    <w:p w:rsidR="00FD766F" w:rsidRPr="00AD46CB" w:rsidRDefault="00FD766F" w:rsidP="00FD766F">
      <w:pPr>
        <w:rPr>
          <w:rFonts w:ascii="David" w:hAnsi="David"/>
          <w:b/>
          <w:bCs/>
          <w:sz w:val="26"/>
          <w:szCs w:val="26"/>
          <w:u w:val="single"/>
          <w:rtl/>
        </w:rPr>
      </w:pPr>
      <w:r w:rsidRPr="00AD46CB">
        <w:rPr>
          <w:rFonts w:ascii="David" w:hAnsi="David"/>
          <w:b/>
          <w:bCs/>
          <w:sz w:val="26"/>
          <w:szCs w:val="26"/>
          <w:u w:val="single"/>
          <w:rtl/>
        </w:rPr>
        <w:t>דיון והכרעה</w:t>
      </w:r>
    </w:p>
    <w:p w:rsidR="00FD766F" w:rsidRDefault="00FD766F" w:rsidP="00FD766F">
      <w:pPr>
        <w:spacing w:line="360" w:lineRule="auto"/>
        <w:rPr>
          <w:rFonts w:ascii="David" w:hAnsi="David"/>
          <w:rtl/>
        </w:rPr>
      </w:pPr>
    </w:p>
    <w:p w:rsidR="00FD766F" w:rsidRDefault="00FD766F" w:rsidP="00FD766F">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באשר לטענתה המקדמית של האישה לפיה דין ערעור האיש להימחק מפאת האיחור בהגשתו, אציין כי האיש אכן הגיש ערעורו באיחור ניכר (הערעור הוגש ביום 15.6.23, כ- 60 יום ממועד מתן החלטת כב' הרשמת), בניגוד לתקנה 45(ג) לתקנות בית משפט לענייני משפחה (סדרי דין) תשפ"א – 2020 ומבלי שעתר בבקשה להארכת מועד. האיש אמנם כרך את ערעורו גם בהחלטות מאוחרות להחלטה מיום 13.4.23, שנוגעות לעיכוב יציאתו מן הארץ, אולם ספק בעיני האם הדבר מהווה עילה מספקת להגשת הערעור באיחור. עם זאת, נוכח העובדה שאושרה לאישה הארכת מועד להגשת ערעורה, בשים לב לגמישות הדיונית המסורה לבימ"ש זה ונוכח מהות המחלוקת מצאתי כי חרף הפגמים שנפלו, יש מקום ליתן לאיש את יומו לצורך מיצוי טענותיו ועל כן אדון להלן ואכריע בערעורים לגופם. </w:t>
      </w:r>
    </w:p>
    <w:p w:rsidR="00FD766F" w:rsidRDefault="00FD766F" w:rsidP="00FD766F">
      <w:pPr>
        <w:pStyle w:val="ad"/>
        <w:spacing w:after="0" w:line="360" w:lineRule="auto"/>
        <w:ind w:left="368"/>
        <w:jc w:val="both"/>
        <w:rPr>
          <w:rFonts w:ascii="David" w:hAnsi="David" w:cs="David"/>
          <w:sz w:val="24"/>
          <w:szCs w:val="24"/>
        </w:rPr>
      </w:pPr>
    </w:p>
    <w:p w:rsidR="00FD766F" w:rsidRDefault="00FD766F" w:rsidP="00FD766F">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כאמור, המחלוקת המהותית בין הצדדים הצטמצמה לשלוש סוגיות שכולן עוסקות </w:t>
      </w:r>
      <w:r>
        <w:rPr>
          <w:rFonts w:ascii="David" w:hAnsi="David" w:cs="David"/>
          <w:b/>
          <w:bCs/>
          <w:sz w:val="24"/>
          <w:szCs w:val="24"/>
          <w:rtl/>
        </w:rPr>
        <w:t>בפרשנות</w:t>
      </w:r>
      <w:r>
        <w:rPr>
          <w:rFonts w:ascii="David" w:hAnsi="David" w:cs="David"/>
          <w:sz w:val="24"/>
          <w:szCs w:val="24"/>
          <w:rtl/>
        </w:rPr>
        <w:t xml:space="preserve"> פסק הדין המוסכם משנת 2021:</w:t>
      </w:r>
    </w:p>
    <w:p w:rsidR="00FD766F" w:rsidRDefault="00FD766F" w:rsidP="00FD766F">
      <w:pPr>
        <w:pStyle w:val="ad"/>
        <w:spacing w:after="0" w:line="360" w:lineRule="auto"/>
        <w:ind w:left="368"/>
        <w:jc w:val="both"/>
        <w:rPr>
          <w:rFonts w:ascii="David" w:hAnsi="David" w:cs="David"/>
          <w:sz w:val="24"/>
          <w:szCs w:val="24"/>
        </w:rPr>
      </w:pPr>
    </w:p>
    <w:p w:rsidR="00FD766F" w:rsidRDefault="00FD766F" w:rsidP="00FD766F">
      <w:pPr>
        <w:pStyle w:val="ad"/>
        <w:spacing w:after="0" w:line="360" w:lineRule="auto"/>
        <w:ind w:left="368"/>
        <w:jc w:val="both"/>
        <w:rPr>
          <w:rFonts w:ascii="David" w:hAnsi="David" w:cs="David"/>
          <w:sz w:val="24"/>
          <w:szCs w:val="24"/>
        </w:rPr>
      </w:pPr>
      <w:r>
        <w:rPr>
          <w:rFonts w:ascii="David" w:hAnsi="David" w:cs="David"/>
          <w:b/>
          <w:bCs/>
          <w:sz w:val="24"/>
          <w:szCs w:val="24"/>
          <w:rtl/>
        </w:rPr>
        <w:t>האחת</w:t>
      </w:r>
      <w:r>
        <w:rPr>
          <w:rFonts w:ascii="David" w:hAnsi="David" w:cs="David"/>
          <w:sz w:val="24"/>
          <w:szCs w:val="24"/>
          <w:rtl/>
        </w:rPr>
        <w:t xml:space="preserve">, האם עדכון החוב בתיק ההוצל"פ מתייחס להגדלות החוב שבוצעו בתיק </w:t>
      </w:r>
      <w:r>
        <w:rPr>
          <w:rFonts w:ascii="David" w:hAnsi="David" w:cs="David"/>
          <w:sz w:val="24"/>
          <w:szCs w:val="24"/>
          <w:u w:val="single"/>
          <w:rtl/>
        </w:rPr>
        <w:t>בפועל</w:t>
      </w:r>
      <w:r>
        <w:rPr>
          <w:rFonts w:ascii="David" w:hAnsi="David" w:cs="David"/>
          <w:sz w:val="24"/>
          <w:szCs w:val="24"/>
          <w:rtl/>
        </w:rPr>
        <w:t>, או שמא מדובר בהתחשבנות כוללת ביחס לחוב המזונות, לרבות ביחס לחיובי מזונות שלא הוגדלו בפועל בתיק ההוצל"פ (להלן: "</w:t>
      </w:r>
      <w:r>
        <w:rPr>
          <w:rFonts w:ascii="David" w:hAnsi="David" w:cs="David"/>
          <w:b/>
          <w:bCs/>
          <w:sz w:val="24"/>
          <w:szCs w:val="24"/>
          <w:rtl/>
        </w:rPr>
        <w:t>הסוגיה הראשונה</w:t>
      </w:r>
      <w:r>
        <w:rPr>
          <w:rFonts w:ascii="David" w:hAnsi="David" w:cs="David"/>
          <w:sz w:val="24"/>
          <w:szCs w:val="24"/>
          <w:rtl/>
        </w:rPr>
        <w:t xml:space="preserve">"). </w:t>
      </w:r>
    </w:p>
    <w:p w:rsidR="00FD766F" w:rsidRDefault="00FD766F" w:rsidP="00FD766F">
      <w:pPr>
        <w:pStyle w:val="ad"/>
        <w:spacing w:after="0" w:line="360" w:lineRule="auto"/>
        <w:ind w:left="368"/>
        <w:jc w:val="both"/>
        <w:rPr>
          <w:rFonts w:ascii="David" w:hAnsi="David" w:cs="David"/>
          <w:sz w:val="24"/>
          <w:szCs w:val="24"/>
          <w:rtl/>
        </w:rPr>
      </w:pPr>
    </w:p>
    <w:p w:rsidR="00FD766F" w:rsidRDefault="00FD766F" w:rsidP="00FD766F">
      <w:pPr>
        <w:pStyle w:val="ad"/>
        <w:spacing w:after="0" w:line="360" w:lineRule="auto"/>
        <w:ind w:left="368"/>
        <w:jc w:val="both"/>
        <w:rPr>
          <w:rFonts w:ascii="David" w:hAnsi="David" w:cs="David"/>
          <w:sz w:val="24"/>
          <w:szCs w:val="24"/>
          <w:rtl/>
        </w:rPr>
      </w:pPr>
      <w:r>
        <w:rPr>
          <w:rFonts w:ascii="David" w:hAnsi="David" w:cs="David"/>
          <w:b/>
          <w:bCs/>
          <w:sz w:val="24"/>
          <w:szCs w:val="24"/>
          <w:rtl/>
        </w:rPr>
        <w:t>השנייה</w:t>
      </w:r>
      <w:r>
        <w:rPr>
          <w:rFonts w:ascii="David" w:hAnsi="David" w:cs="David"/>
          <w:sz w:val="24"/>
          <w:szCs w:val="24"/>
          <w:rtl/>
        </w:rPr>
        <w:t>, האם המועד ממנו יש לעדכן את החיוב המוסכם שנקבע בפסק הדין משנת 2021 הוא המועד בו עודכן החיוב בתיק ההוצל"פ לפי פסק הדין משנת 2010 או שמא המועד שצוין בפסק הדין בערעור (להלן: "</w:t>
      </w:r>
      <w:r>
        <w:rPr>
          <w:rFonts w:ascii="David" w:hAnsi="David" w:cs="David"/>
          <w:b/>
          <w:bCs/>
          <w:sz w:val="24"/>
          <w:szCs w:val="24"/>
          <w:rtl/>
        </w:rPr>
        <w:t>הסוגיה השנייה</w:t>
      </w:r>
      <w:r>
        <w:rPr>
          <w:rFonts w:ascii="David" w:hAnsi="David" w:cs="David"/>
          <w:sz w:val="24"/>
          <w:szCs w:val="24"/>
          <w:rtl/>
        </w:rPr>
        <w:t>").</w:t>
      </w:r>
    </w:p>
    <w:p w:rsidR="00FD766F" w:rsidRDefault="00FD766F" w:rsidP="00FD766F">
      <w:pPr>
        <w:pStyle w:val="ad"/>
        <w:spacing w:after="0" w:line="360" w:lineRule="auto"/>
        <w:ind w:left="368"/>
        <w:jc w:val="both"/>
        <w:rPr>
          <w:rFonts w:ascii="David" w:hAnsi="David" w:cs="David"/>
          <w:sz w:val="24"/>
          <w:szCs w:val="24"/>
          <w:rtl/>
        </w:rPr>
      </w:pPr>
    </w:p>
    <w:p w:rsidR="00FD766F" w:rsidRDefault="00FD766F" w:rsidP="00FD766F">
      <w:pPr>
        <w:pStyle w:val="ad"/>
        <w:spacing w:after="0" w:line="360" w:lineRule="auto"/>
        <w:ind w:left="368"/>
        <w:jc w:val="both"/>
        <w:rPr>
          <w:rFonts w:ascii="David" w:hAnsi="David" w:cs="David"/>
          <w:sz w:val="24"/>
          <w:szCs w:val="24"/>
          <w:rtl/>
        </w:rPr>
      </w:pPr>
      <w:r>
        <w:rPr>
          <w:rFonts w:ascii="David" w:hAnsi="David" w:cs="David"/>
          <w:b/>
          <w:bCs/>
          <w:sz w:val="24"/>
          <w:szCs w:val="24"/>
          <w:rtl/>
        </w:rPr>
        <w:t>השלישית</w:t>
      </w:r>
      <w:r>
        <w:rPr>
          <w:rFonts w:ascii="David" w:hAnsi="David" w:cs="David"/>
          <w:sz w:val="24"/>
          <w:szCs w:val="24"/>
          <w:rtl/>
        </w:rPr>
        <w:t>, האם המזונות שנקבעו בפסק הדין המוסכם משנת 2021 מהווים חיוב נומינאלי, או שיש לשערכם בתוספת ריבית והצמדה (להלן: "</w:t>
      </w:r>
      <w:r>
        <w:rPr>
          <w:rFonts w:ascii="David" w:hAnsi="David" w:cs="David"/>
          <w:b/>
          <w:bCs/>
          <w:sz w:val="24"/>
          <w:szCs w:val="24"/>
          <w:rtl/>
        </w:rPr>
        <w:t>הסוגיה השלישית</w:t>
      </w:r>
      <w:r>
        <w:rPr>
          <w:rFonts w:ascii="David" w:hAnsi="David" w:cs="David"/>
          <w:sz w:val="24"/>
          <w:szCs w:val="24"/>
          <w:rtl/>
        </w:rPr>
        <w:t>").</w:t>
      </w:r>
    </w:p>
    <w:p w:rsidR="00FD766F" w:rsidRDefault="00FD766F" w:rsidP="00FD766F">
      <w:pPr>
        <w:pStyle w:val="ad"/>
        <w:spacing w:after="0" w:line="360" w:lineRule="auto"/>
        <w:ind w:left="368"/>
        <w:jc w:val="both"/>
        <w:rPr>
          <w:rFonts w:ascii="David" w:hAnsi="David" w:cs="David"/>
          <w:sz w:val="24"/>
          <w:szCs w:val="24"/>
          <w:rtl/>
        </w:rPr>
      </w:pPr>
    </w:p>
    <w:p w:rsidR="00FD766F" w:rsidRDefault="00FD766F" w:rsidP="00FD766F">
      <w:pPr>
        <w:pStyle w:val="ad"/>
        <w:numPr>
          <w:ilvl w:val="0"/>
          <w:numId w:val="1"/>
        </w:numPr>
        <w:spacing w:after="0" w:line="360" w:lineRule="auto"/>
        <w:ind w:left="368" w:right="-142"/>
        <w:jc w:val="both"/>
        <w:rPr>
          <w:rFonts w:ascii="David" w:hAnsi="David" w:cs="David"/>
          <w:sz w:val="24"/>
          <w:szCs w:val="24"/>
          <w:rtl/>
        </w:rPr>
      </w:pPr>
      <w:r>
        <w:rPr>
          <w:rFonts w:ascii="David" w:hAnsi="David" w:cs="David"/>
          <w:sz w:val="24"/>
          <w:szCs w:val="24"/>
          <w:rtl/>
        </w:rPr>
        <w:lastRenderedPageBreak/>
        <w:t xml:space="preserve">הפסיקה עמדה על מלאכת פרשנות פסקי דין בציינה כי בדומה לפרשנות כל טקסט משפטי, נקודת המוצא הנה בחינת לשון פסק הדין, שבענייננו היא לשון </w:t>
      </w:r>
      <w:r w:rsidRPr="00BC798A">
        <w:rPr>
          <w:rFonts w:ascii="David" w:hAnsi="David" w:cs="David"/>
          <w:sz w:val="24"/>
          <w:szCs w:val="24"/>
          <w:rtl/>
        </w:rPr>
        <w:t>ההסכמות שנוסחו במעמד הדיון</w:t>
      </w:r>
      <w:r w:rsidR="00AD46CB" w:rsidRPr="00BC798A">
        <w:rPr>
          <w:rFonts w:ascii="David" w:hAnsi="David" w:cs="David" w:hint="cs"/>
          <w:sz w:val="24"/>
          <w:szCs w:val="24"/>
          <w:rtl/>
        </w:rPr>
        <w:t xml:space="preserve"> בתביעת האיש להפחתת מזונות, והיוו את פסק הדין המוסכם משנת 2021</w:t>
      </w:r>
      <w:r w:rsidRPr="00BC798A">
        <w:rPr>
          <w:rFonts w:ascii="David" w:hAnsi="David" w:cs="David"/>
          <w:sz w:val="24"/>
          <w:szCs w:val="24"/>
          <w:rtl/>
        </w:rPr>
        <w:t>.</w:t>
      </w:r>
      <w:r>
        <w:rPr>
          <w:rFonts w:ascii="David" w:hAnsi="David" w:cs="David"/>
          <w:sz w:val="24"/>
          <w:szCs w:val="24"/>
          <w:rtl/>
        </w:rPr>
        <w:t xml:space="preserve"> כאשר הלשון הנה חד משמעית, מתמ</w:t>
      </w:r>
      <w:r w:rsidR="002A34B4">
        <w:rPr>
          <w:rFonts w:ascii="David" w:hAnsi="David" w:cs="David"/>
          <w:sz w:val="24"/>
          <w:szCs w:val="24"/>
          <w:rtl/>
        </w:rPr>
        <w:t xml:space="preserve">צה ההליך הפרשני בשלב זה והטקסט </w:t>
      </w:r>
      <w:r w:rsidR="002A34B4">
        <w:rPr>
          <w:rFonts w:ascii="David" w:hAnsi="David" w:cs="David" w:hint="cs"/>
          <w:sz w:val="24"/>
          <w:szCs w:val="24"/>
          <w:rtl/>
        </w:rPr>
        <w:t>מ</w:t>
      </w:r>
      <w:r>
        <w:rPr>
          <w:rFonts w:ascii="David" w:hAnsi="David" w:cs="David"/>
          <w:sz w:val="24"/>
          <w:szCs w:val="24"/>
          <w:rtl/>
        </w:rPr>
        <w:t>קבל את המשמעות הלשונית. ואולם, כאשר הלשון מאפשרת מספר פרשנויות, יש לבחור בזו המטיבה לשקף את התכלית שבבסיס פסק הדין או ההסכם, הנלמדת מנסיבות העניין ועקרונות היסוד של השיטה (ההדגשות אינן במקור):</w:t>
      </w:r>
    </w:p>
    <w:p w:rsidR="00FD766F" w:rsidRDefault="00FD766F" w:rsidP="00FD766F">
      <w:pPr>
        <w:pStyle w:val="ad"/>
        <w:spacing w:after="0" w:line="360" w:lineRule="auto"/>
        <w:ind w:left="368" w:right="-142"/>
        <w:jc w:val="both"/>
        <w:rPr>
          <w:rFonts w:ascii="David" w:hAnsi="David" w:cs="David"/>
          <w:sz w:val="24"/>
          <w:szCs w:val="24"/>
        </w:rPr>
      </w:pPr>
    </w:p>
    <w:p w:rsidR="00FD766F" w:rsidRDefault="00FD766F" w:rsidP="00FD766F">
      <w:pPr>
        <w:pStyle w:val="ad"/>
        <w:spacing w:after="0" w:line="360" w:lineRule="auto"/>
        <w:ind w:left="935" w:right="567"/>
        <w:jc w:val="both"/>
        <w:rPr>
          <w:rFonts w:ascii="David" w:hAnsi="David" w:cs="David"/>
          <w:b/>
          <w:bCs/>
          <w:sz w:val="24"/>
          <w:szCs w:val="24"/>
          <w:rtl/>
        </w:rPr>
      </w:pPr>
      <w:r>
        <w:rPr>
          <w:rFonts w:ascii="David" w:hAnsi="David" w:cs="David"/>
          <w:sz w:val="24"/>
          <w:szCs w:val="24"/>
          <w:rtl/>
        </w:rPr>
        <w:t>"</w:t>
      </w:r>
      <w:r>
        <w:rPr>
          <w:rFonts w:ascii="David" w:hAnsi="David" w:cs="David"/>
          <w:b/>
          <w:bCs/>
          <w:sz w:val="24"/>
          <w:szCs w:val="24"/>
          <w:rtl/>
        </w:rPr>
        <w:t>... פסק-דין הוא 'טקסט', ויש לפרשו על-פי כללי הפרשנות הרגילים לפירושם של 'טקסטים' משפטיים ... על</w:t>
      </w:r>
      <w:r>
        <w:rPr>
          <w:rFonts w:ascii="David" w:hAnsi="David" w:cs="David"/>
          <w:b/>
          <w:bCs/>
          <w:sz w:val="24"/>
          <w:szCs w:val="24"/>
        </w:rPr>
        <w:t>-</w:t>
      </w:r>
      <w:r>
        <w:rPr>
          <w:rFonts w:ascii="David" w:hAnsi="David" w:cs="David"/>
          <w:b/>
          <w:bCs/>
          <w:sz w:val="24"/>
          <w:szCs w:val="24"/>
          <w:rtl/>
        </w:rPr>
        <w:t>כן יש לפרש פסק-דין בהתחשב</w:t>
      </w:r>
      <w:r>
        <w:rPr>
          <w:rFonts w:ascii="David" w:hAnsi="David" w:cs="David"/>
          <w:b/>
          <w:bCs/>
          <w:sz w:val="24"/>
          <w:szCs w:val="24"/>
        </w:rPr>
        <w:t xml:space="preserve"> </w:t>
      </w:r>
      <w:r>
        <w:rPr>
          <w:rFonts w:ascii="David" w:hAnsi="David" w:cs="David"/>
          <w:b/>
          <w:bCs/>
          <w:sz w:val="24"/>
          <w:szCs w:val="24"/>
          <w:u w:val="single"/>
          <w:rtl/>
        </w:rPr>
        <w:t>בלשונו ובתכליתו</w:t>
      </w:r>
      <w:r>
        <w:rPr>
          <w:rFonts w:ascii="David" w:hAnsi="David" w:cs="David"/>
          <w:b/>
          <w:bCs/>
          <w:sz w:val="24"/>
          <w:szCs w:val="24"/>
          <w:rtl/>
        </w:rPr>
        <w:t>. על תכלית פסק הדין יש ללמוד, בראש ובראשונה, מלשונו וכן</w:t>
      </w:r>
      <w:r>
        <w:rPr>
          <w:rFonts w:ascii="David" w:hAnsi="David" w:cs="David"/>
          <w:b/>
          <w:bCs/>
          <w:sz w:val="24"/>
          <w:szCs w:val="24"/>
        </w:rPr>
        <w:t xml:space="preserve"> </w:t>
      </w:r>
      <w:r>
        <w:rPr>
          <w:rFonts w:ascii="David" w:hAnsi="David" w:cs="David"/>
          <w:b/>
          <w:bCs/>
          <w:sz w:val="24"/>
          <w:szCs w:val="24"/>
          <w:rtl/>
        </w:rPr>
        <w:t>ממקורות חיצוניים, כגון ההיסטוריה של ההלכה השיפוטית, המבנה הנורמאטיבי הכללי ועקרונות היסוד של השיטה</w:t>
      </w:r>
      <w:r w:rsidR="00AD46CB">
        <w:rPr>
          <w:rFonts w:ascii="David" w:hAnsi="David" w:cs="David"/>
          <w:sz w:val="24"/>
          <w:szCs w:val="24"/>
          <w:rtl/>
        </w:rPr>
        <w:t>" (</w:t>
      </w:r>
      <w:r>
        <w:rPr>
          <w:rFonts w:ascii="David" w:hAnsi="David" w:cs="David"/>
          <w:sz w:val="24"/>
          <w:szCs w:val="24"/>
          <w:rtl/>
        </w:rPr>
        <w:t xml:space="preserve">בג"צ 3406/91 </w:t>
      </w:r>
      <w:r>
        <w:rPr>
          <w:rFonts w:ascii="David" w:hAnsi="David" w:cs="David"/>
          <w:b/>
          <w:bCs/>
          <w:sz w:val="24"/>
          <w:szCs w:val="24"/>
          <w:rtl/>
        </w:rPr>
        <w:t>בבלי ואח' נ' היועמ"ש ואח'</w:t>
      </w:r>
      <w:r w:rsidR="00AD46CB">
        <w:rPr>
          <w:rFonts w:ascii="David" w:hAnsi="David" w:cs="David" w:hint="cs"/>
          <w:b/>
          <w:bCs/>
          <w:sz w:val="24"/>
          <w:szCs w:val="24"/>
          <w:rtl/>
        </w:rPr>
        <w:t>,</w:t>
      </w:r>
      <w:r>
        <w:rPr>
          <w:rFonts w:ascii="David" w:hAnsi="David" w:cs="David"/>
          <w:b/>
          <w:bCs/>
          <w:sz w:val="24"/>
          <w:szCs w:val="24"/>
          <w:rtl/>
        </w:rPr>
        <w:t xml:space="preserve"> </w:t>
      </w:r>
      <w:r w:rsidR="00AD46CB">
        <w:rPr>
          <w:rFonts w:ascii="David" w:hAnsi="David" w:cs="David" w:hint="cs"/>
          <w:sz w:val="24"/>
          <w:szCs w:val="24"/>
          <w:rtl/>
        </w:rPr>
        <w:t xml:space="preserve">מיום </w:t>
      </w:r>
      <w:r w:rsidR="00AD46CB">
        <w:rPr>
          <w:rFonts w:ascii="David" w:hAnsi="David" w:cs="David"/>
          <w:sz w:val="24"/>
          <w:szCs w:val="24"/>
          <w:rtl/>
        </w:rPr>
        <w:t>26.8.91)</w:t>
      </w:r>
      <w:r>
        <w:rPr>
          <w:rFonts w:ascii="David" w:hAnsi="David" w:cs="David"/>
          <w:sz w:val="24"/>
          <w:szCs w:val="24"/>
          <w:rtl/>
        </w:rPr>
        <w:t>.</w:t>
      </w:r>
    </w:p>
    <w:p w:rsidR="00FD766F" w:rsidRDefault="00FD766F" w:rsidP="00FD766F">
      <w:pPr>
        <w:pStyle w:val="ad"/>
        <w:spacing w:after="0" w:line="360" w:lineRule="auto"/>
        <w:ind w:left="368" w:right="-142"/>
        <w:jc w:val="both"/>
        <w:rPr>
          <w:rFonts w:ascii="David" w:hAnsi="David" w:cs="David"/>
          <w:sz w:val="24"/>
          <w:szCs w:val="24"/>
        </w:rPr>
      </w:pPr>
    </w:p>
    <w:p w:rsidR="00FD766F" w:rsidRDefault="00FD766F" w:rsidP="00FD766F">
      <w:pPr>
        <w:pStyle w:val="ad"/>
        <w:spacing w:after="0" w:line="360" w:lineRule="auto"/>
        <w:ind w:left="368" w:right="-142"/>
        <w:jc w:val="both"/>
        <w:rPr>
          <w:rFonts w:ascii="David" w:hAnsi="David" w:cs="David"/>
          <w:sz w:val="24"/>
          <w:szCs w:val="24"/>
          <w:rtl/>
        </w:rPr>
      </w:pPr>
      <w:r>
        <w:rPr>
          <w:rFonts w:ascii="David" w:hAnsi="David" w:cs="David"/>
          <w:sz w:val="24"/>
          <w:szCs w:val="24"/>
          <w:rtl/>
        </w:rPr>
        <w:t xml:space="preserve">עוד נאמר בהקשר זה כך: </w:t>
      </w:r>
    </w:p>
    <w:p w:rsidR="00FD766F" w:rsidRDefault="00FD766F" w:rsidP="00FD766F">
      <w:pPr>
        <w:pStyle w:val="ad"/>
        <w:spacing w:after="0" w:line="360" w:lineRule="auto"/>
        <w:ind w:left="368" w:right="-142"/>
        <w:jc w:val="both"/>
        <w:rPr>
          <w:rFonts w:ascii="David" w:hAnsi="David" w:cs="David"/>
          <w:sz w:val="24"/>
          <w:szCs w:val="24"/>
          <w:rtl/>
        </w:rPr>
      </w:pPr>
    </w:p>
    <w:p w:rsidR="00FD766F" w:rsidRDefault="00FD766F" w:rsidP="00FD766F">
      <w:pPr>
        <w:pStyle w:val="ad"/>
        <w:spacing w:after="0" w:line="360" w:lineRule="auto"/>
        <w:ind w:left="935" w:right="567"/>
        <w:jc w:val="both"/>
        <w:rPr>
          <w:rFonts w:ascii="David" w:hAnsi="David" w:cs="David"/>
          <w:b/>
          <w:bCs/>
          <w:sz w:val="24"/>
          <w:szCs w:val="24"/>
          <w:rtl/>
        </w:rPr>
      </w:pPr>
      <w:r>
        <w:rPr>
          <w:rFonts w:ascii="David" w:hAnsi="David" w:cs="David"/>
          <w:sz w:val="24"/>
          <w:szCs w:val="24"/>
          <w:rtl/>
        </w:rPr>
        <w:t>"</w:t>
      </w:r>
      <w:r>
        <w:rPr>
          <w:rFonts w:ascii="Century" w:hAnsi="Century"/>
          <w:rtl/>
        </w:rPr>
        <w:t xml:space="preserve">... </w:t>
      </w:r>
      <w:r>
        <w:rPr>
          <w:rFonts w:ascii="David" w:hAnsi="David" w:cs="David"/>
          <w:b/>
          <w:bCs/>
          <w:sz w:val="24"/>
          <w:szCs w:val="24"/>
          <w:rtl/>
        </w:rPr>
        <w:t xml:space="preserve">נקודת המוצא להליך הפרשנות של טקסט משפטי היא לשונו, ואולם כאשר הלשון מאפשרת מגוון משמעויות, </w:t>
      </w:r>
      <w:r>
        <w:rPr>
          <w:rFonts w:ascii="David" w:hAnsi="David" w:cs="David"/>
          <w:b/>
          <w:bCs/>
          <w:sz w:val="24"/>
          <w:szCs w:val="24"/>
          <w:u w:val="single"/>
          <w:rtl/>
        </w:rPr>
        <w:t>על הפרשן להעניק משקל לאותה משמעות המשרתת בצורה המיטבית את תכליתו של הטקסט המשפטי בו עסקינן</w:t>
      </w:r>
      <w:r>
        <w:rPr>
          <w:rFonts w:ascii="David" w:hAnsi="David" w:cs="David"/>
          <w:b/>
          <w:bCs/>
          <w:sz w:val="24"/>
          <w:szCs w:val="24"/>
          <w:rtl/>
        </w:rPr>
        <w:t xml:space="preserve"> (ראו אהרן ברק </w:t>
      </w:r>
      <w:hyperlink r:id="rId9" w:history="1">
        <w:r>
          <w:rPr>
            <w:rStyle w:val="Hyperlink"/>
            <w:rFonts w:ascii="David" w:hAnsi="David" w:cs="David"/>
            <w:b/>
            <w:bCs/>
            <w:sz w:val="24"/>
            <w:szCs w:val="24"/>
            <w:rtl/>
          </w:rPr>
          <w:t>פרשנות תכליתית במשפט</w:t>
        </w:r>
      </w:hyperlink>
      <w:r>
        <w:rPr>
          <w:rFonts w:ascii="David" w:hAnsi="David" w:cs="David"/>
          <w:b/>
          <w:bCs/>
          <w:sz w:val="24"/>
          <w:szCs w:val="24"/>
          <w:rtl/>
        </w:rPr>
        <w:t xml:space="preserve"> 133-132 (2003) (להלן: ברק, </w:t>
      </w:r>
      <w:hyperlink r:id="rId10" w:history="1">
        <w:r>
          <w:rPr>
            <w:rStyle w:val="Hyperlink"/>
            <w:rFonts w:ascii="David" w:hAnsi="David" w:cs="David"/>
            <w:b/>
            <w:bCs/>
            <w:sz w:val="24"/>
            <w:szCs w:val="24"/>
            <w:rtl/>
          </w:rPr>
          <w:t>פרשנות תכליתית במשפט</w:t>
        </w:r>
      </w:hyperlink>
      <w:r>
        <w:rPr>
          <w:rFonts w:ascii="David" w:hAnsi="David" w:cs="David"/>
          <w:b/>
          <w:bCs/>
          <w:sz w:val="24"/>
          <w:szCs w:val="24"/>
          <w:rtl/>
        </w:rPr>
        <w:t>)). נפתח אפוא בלשון, ונעבור ממנה לבחינת התכלית</w:t>
      </w:r>
      <w:r>
        <w:rPr>
          <w:rFonts w:ascii="David" w:hAnsi="David" w:cs="David"/>
          <w:sz w:val="24"/>
          <w:szCs w:val="24"/>
          <w:rtl/>
        </w:rPr>
        <w:t xml:space="preserve">" (ע"א 8150/19 </w:t>
      </w:r>
      <w:r>
        <w:rPr>
          <w:rFonts w:ascii="David" w:hAnsi="David" w:cs="David"/>
          <w:b/>
          <w:bCs/>
          <w:sz w:val="24"/>
          <w:szCs w:val="24"/>
          <w:rtl/>
        </w:rPr>
        <w:t>הררי רפול נ' מילר</w:t>
      </w:r>
      <w:r w:rsidR="00AD46CB">
        <w:rPr>
          <w:rFonts w:ascii="David" w:hAnsi="David" w:cs="David" w:hint="cs"/>
          <w:sz w:val="24"/>
          <w:szCs w:val="24"/>
          <w:rtl/>
        </w:rPr>
        <w:t>, מיום</w:t>
      </w:r>
      <w:r w:rsidR="00AD46CB">
        <w:rPr>
          <w:rFonts w:ascii="David" w:hAnsi="David" w:cs="David"/>
          <w:sz w:val="24"/>
          <w:szCs w:val="24"/>
          <w:rtl/>
        </w:rPr>
        <w:t xml:space="preserve"> </w:t>
      </w:r>
      <w:r>
        <w:rPr>
          <w:rFonts w:ascii="David" w:hAnsi="David" w:cs="David"/>
          <w:sz w:val="24"/>
          <w:szCs w:val="24"/>
          <w:rtl/>
        </w:rPr>
        <w:t xml:space="preserve">19.8.21). </w:t>
      </w:r>
    </w:p>
    <w:p w:rsidR="00FD766F" w:rsidRDefault="00FD766F" w:rsidP="00FD766F">
      <w:pPr>
        <w:pStyle w:val="ad"/>
        <w:spacing w:after="0" w:line="360" w:lineRule="auto"/>
        <w:ind w:left="368" w:right="-142"/>
        <w:jc w:val="both"/>
        <w:rPr>
          <w:rFonts w:ascii="David" w:hAnsi="David" w:cs="David"/>
          <w:b/>
          <w:bCs/>
          <w:sz w:val="24"/>
          <w:szCs w:val="24"/>
          <w:rtl/>
        </w:rPr>
      </w:pPr>
    </w:p>
    <w:p w:rsidR="00FD766F" w:rsidRDefault="00FD766F" w:rsidP="00FD766F">
      <w:pPr>
        <w:pStyle w:val="ad"/>
        <w:numPr>
          <w:ilvl w:val="0"/>
          <w:numId w:val="1"/>
        </w:numPr>
        <w:spacing w:after="0" w:line="360" w:lineRule="auto"/>
        <w:ind w:left="368" w:right="-142"/>
        <w:jc w:val="both"/>
        <w:rPr>
          <w:rFonts w:ascii="David" w:hAnsi="David" w:cs="David"/>
          <w:sz w:val="24"/>
          <w:szCs w:val="24"/>
          <w:rtl/>
        </w:rPr>
      </w:pPr>
      <w:r>
        <w:rPr>
          <w:rFonts w:ascii="David" w:hAnsi="David" w:cs="David"/>
          <w:sz w:val="24"/>
          <w:szCs w:val="24"/>
          <w:rtl/>
        </w:rPr>
        <w:t xml:space="preserve">ובנוגע לפסקי דין שניתנו בהסכמה כבר נאמר כי: </w:t>
      </w:r>
    </w:p>
    <w:p w:rsidR="00FD766F" w:rsidRDefault="00FD766F" w:rsidP="00FD766F">
      <w:pPr>
        <w:pStyle w:val="ad"/>
        <w:spacing w:after="0" w:line="360" w:lineRule="auto"/>
        <w:ind w:left="368" w:right="-142"/>
        <w:jc w:val="both"/>
        <w:rPr>
          <w:rFonts w:ascii="David" w:hAnsi="David" w:cs="David"/>
          <w:sz w:val="24"/>
          <w:szCs w:val="24"/>
        </w:rPr>
      </w:pPr>
    </w:p>
    <w:p w:rsidR="00FD766F" w:rsidRDefault="00FD766F" w:rsidP="00FD766F">
      <w:pPr>
        <w:pStyle w:val="ad"/>
        <w:spacing w:after="0" w:line="360" w:lineRule="auto"/>
        <w:ind w:left="935" w:right="567"/>
        <w:jc w:val="both"/>
        <w:rPr>
          <w:rFonts w:ascii="David" w:hAnsi="David" w:cs="David"/>
          <w:sz w:val="24"/>
          <w:szCs w:val="24"/>
          <w:rtl/>
        </w:rPr>
      </w:pPr>
      <w:r>
        <w:rPr>
          <w:rFonts w:ascii="David" w:hAnsi="David" w:cs="David"/>
          <w:sz w:val="24"/>
          <w:szCs w:val="24"/>
          <w:rtl/>
        </w:rPr>
        <w:t>"</w:t>
      </w:r>
      <w:r>
        <w:rPr>
          <w:rFonts w:ascii="David" w:hAnsi="David" w:cs="David"/>
          <w:b/>
          <w:bCs/>
          <w:sz w:val="24"/>
          <w:szCs w:val="24"/>
          <w:rtl/>
        </w:rPr>
        <w:t>פסק-דין בהסכמה ... ממזג תכונות של הסכם ושל פסק-דין או כדברי בית משפט זה ב</w:t>
      </w:r>
      <w:hyperlink r:id="rId11" w:history="1">
        <w:r>
          <w:rPr>
            <w:rStyle w:val="Hyperlink"/>
            <w:rFonts w:ascii="David" w:hAnsi="David" w:cs="David"/>
            <w:b/>
            <w:bCs/>
            <w:sz w:val="24"/>
            <w:szCs w:val="24"/>
            <w:rtl/>
          </w:rPr>
          <w:t>בג"ץ 6103/93 לוי נ' בית הדין הרבני הגדול, פ"ד מח</w:t>
        </w:r>
      </w:hyperlink>
      <w:r>
        <w:rPr>
          <w:rFonts w:ascii="David" w:hAnsi="David" w:cs="David"/>
          <w:b/>
          <w:bCs/>
          <w:sz w:val="24"/>
          <w:szCs w:val="24"/>
          <w:rtl/>
        </w:rPr>
        <w:t xml:space="preserve">(4) 591 (1994): פסק-דין המעניק תוקף להסכם שעשו בעלי דין הינו </w:t>
      </w:r>
      <w:r>
        <w:rPr>
          <w:rFonts w:ascii="David" w:hAnsi="David" w:cs="David"/>
          <w:b/>
          <w:bCs/>
          <w:sz w:val="24"/>
          <w:szCs w:val="24"/>
          <w:u w:val="single"/>
          <w:rtl/>
        </w:rPr>
        <w:t>בבחינת יצור כלאיים</w:t>
      </w:r>
      <w:r>
        <w:rPr>
          <w:rFonts w:ascii="David" w:hAnsi="David" w:cs="David"/>
          <w:b/>
          <w:bCs/>
          <w:sz w:val="24"/>
          <w:szCs w:val="24"/>
          <w:rtl/>
        </w:rPr>
        <w:t>: ראשו של היצור הוא פסק הדין וגופו הוא ההסכם ...</w:t>
      </w:r>
      <w:r>
        <w:rPr>
          <w:rFonts w:ascii="David" w:hAnsi="David" w:cs="David"/>
          <w:sz w:val="24"/>
          <w:szCs w:val="24"/>
          <w:rtl/>
        </w:rPr>
        <w:t xml:space="preserve">" (ע"א 1545/08 </w:t>
      </w:r>
      <w:r>
        <w:rPr>
          <w:rFonts w:ascii="David" w:hAnsi="David" w:cs="David"/>
          <w:b/>
          <w:bCs/>
          <w:sz w:val="24"/>
          <w:szCs w:val="24"/>
          <w:rtl/>
        </w:rPr>
        <w:t>מוסקונה ואח' נ' סולל בונה בע"מ</w:t>
      </w:r>
      <w:r w:rsidR="003377E5" w:rsidRPr="003377E5">
        <w:rPr>
          <w:rFonts w:ascii="David" w:hAnsi="David" w:cs="David" w:hint="cs"/>
          <w:sz w:val="24"/>
          <w:szCs w:val="24"/>
          <w:rtl/>
        </w:rPr>
        <w:t>, מיום</w:t>
      </w:r>
      <w:r>
        <w:rPr>
          <w:rFonts w:ascii="David" w:hAnsi="David" w:cs="David"/>
          <w:b/>
          <w:bCs/>
          <w:sz w:val="24"/>
          <w:szCs w:val="24"/>
          <w:rtl/>
        </w:rPr>
        <w:t xml:space="preserve"> </w:t>
      </w:r>
      <w:r>
        <w:rPr>
          <w:rFonts w:ascii="David" w:hAnsi="David" w:cs="David"/>
          <w:sz w:val="24"/>
          <w:szCs w:val="24"/>
          <w:rtl/>
        </w:rPr>
        <w:t>4.</w:t>
      </w:r>
      <w:r w:rsidR="003377E5">
        <w:rPr>
          <w:rFonts w:ascii="David" w:hAnsi="David" w:cs="David"/>
          <w:sz w:val="24"/>
          <w:szCs w:val="24"/>
          <w:rtl/>
        </w:rPr>
        <w:t>3.10)</w:t>
      </w:r>
      <w:r>
        <w:rPr>
          <w:rFonts w:ascii="David" w:hAnsi="David" w:cs="David"/>
          <w:sz w:val="24"/>
          <w:szCs w:val="24"/>
          <w:rtl/>
        </w:rPr>
        <w:t xml:space="preserve">.  </w:t>
      </w:r>
    </w:p>
    <w:p w:rsidR="00FD766F" w:rsidRDefault="00FD766F" w:rsidP="00FD766F">
      <w:pPr>
        <w:pStyle w:val="ad"/>
        <w:spacing w:after="0" w:line="360" w:lineRule="auto"/>
        <w:ind w:left="368" w:right="-142"/>
        <w:jc w:val="both"/>
        <w:rPr>
          <w:rFonts w:ascii="David" w:hAnsi="David" w:cs="David"/>
          <w:sz w:val="24"/>
          <w:szCs w:val="24"/>
        </w:rPr>
      </w:pPr>
    </w:p>
    <w:p w:rsidR="00FD766F" w:rsidRDefault="002A34B4" w:rsidP="002A34B4">
      <w:pPr>
        <w:pStyle w:val="ad"/>
        <w:numPr>
          <w:ilvl w:val="0"/>
          <w:numId w:val="1"/>
        </w:numPr>
        <w:spacing w:after="0" w:line="360" w:lineRule="auto"/>
        <w:ind w:left="368" w:right="-142"/>
        <w:jc w:val="both"/>
        <w:rPr>
          <w:rFonts w:ascii="David" w:hAnsi="David" w:cs="David"/>
          <w:sz w:val="24"/>
          <w:szCs w:val="24"/>
        </w:rPr>
      </w:pPr>
      <w:r>
        <w:rPr>
          <w:rFonts w:ascii="David" w:hAnsi="David" w:cs="David" w:hint="cs"/>
          <w:sz w:val="24"/>
          <w:szCs w:val="24"/>
          <w:rtl/>
        </w:rPr>
        <w:t xml:space="preserve">על דרך ההיקש יצוין </w:t>
      </w:r>
      <w:r w:rsidR="00FD766F">
        <w:rPr>
          <w:rFonts w:ascii="David" w:hAnsi="David" w:cs="David"/>
          <w:sz w:val="24"/>
          <w:szCs w:val="24"/>
          <w:rtl/>
        </w:rPr>
        <w:t>גם סעיף 25(א) לחוק החוזים (חלק כללי), התשל"ג - 1973 הקובע כי "</w:t>
      </w:r>
      <w:r w:rsidR="00FD766F">
        <w:rPr>
          <w:rFonts w:ascii="David" w:hAnsi="David" w:cs="David"/>
          <w:b/>
          <w:bCs/>
          <w:sz w:val="24"/>
          <w:szCs w:val="24"/>
          <w:rtl/>
        </w:rPr>
        <w:t>חוזה יפורש לפי אומד דעתם של הצדדים, כפי שהוא משתמע מתוך החוזה ומנסיבות העניין, ואולם אם אומד דעתם של הצדדים משתמע במפורש מלשון החוזה, יפורש החוזה בהתאם ללשונו</w:t>
      </w:r>
      <w:r w:rsidR="00FD766F">
        <w:rPr>
          <w:rFonts w:ascii="David" w:hAnsi="David" w:cs="David"/>
          <w:sz w:val="24"/>
          <w:szCs w:val="24"/>
          <w:rtl/>
        </w:rPr>
        <w:t xml:space="preserve">". </w:t>
      </w:r>
    </w:p>
    <w:p w:rsidR="00FD766F" w:rsidRDefault="00FD766F" w:rsidP="00FD766F">
      <w:pPr>
        <w:pStyle w:val="ad"/>
        <w:rPr>
          <w:rFonts w:ascii="David" w:hAnsi="David" w:cs="David"/>
          <w:sz w:val="24"/>
          <w:szCs w:val="24"/>
        </w:rPr>
      </w:pPr>
    </w:p>
    <w:p w:rsidR="00FD766F" w:rsidRDefault="00FD766F" w:rsidP="00FD766F">
      <w:pPr>
        <w:pStyle w:val="ad"/>
        <w:numPr>
          <w:ilvl w:val="0"/>
          <w:numId w:val="1"/>
        </w:numPr>
        <w:spacing w:after="0" w:line="360" w:lineRule="auto"/>
        <w:ind w:left="368" w:right="-142"/>
        <w:jc w:val="both"/>
        <w:rPr>
          <w:rFonts w:ascii="David" w:hAnsi="David" w:cs="David"/>
          <w:sz w:val="24"/>
          <w:szCs w:val="24"/>
          <w:rtl/>
        </w:rPr>
      </w:pPr>
      <w:r>
        <w:rPr>
          <w:rFonts w:ascii="David" w:hAnsi="David" w:cs="David"/>
          <w:sz w:val="24"/>
          <w:szCs w:val="24"/>
          <w:rtl/>
        </w:rPr>
        <w:t>בענייננו, המ</w:t>
      </w:r>
      <w:r w:rsidR="003377E5">
        <w:rPr>
          <w:rFonts w:ascii="David" w:hAnsi="David" w:cs="David"/>
          <w:sz w:val="24"/>
          <w:szCs w:val="24"/>
          <w:rtl/>
        </w:rPr>
        <w:t xml:space="preserve">דובר בהצעת פשרה שהועלתה על ידי </w:t>
      </w:r>
      <w:r>
        <w:rPr>
          <w:rFonts w:ascii="David" w:hAnsi="David" w:cs="David"/>
          <w:sz w:val="24"/>
          <w:szCs w:val="24"/>
          <w:rtl/>
        </w:rPr>
        <w:t xml:space="preserve">ביהמ"ש במעמד דיון בנוכחות הצדדים, כאשר הצדדים היו רשאים להעיר הערותיהם בעניינה והיו שותפים לניסוחה. בהתאם למתווה המשפטי שקבעה הפסיקה, אדון ואכריע להלן בסוגיות הפרשניות שהובאו לפתחי. </w:t>
      </w:r>
    </w:p>
    <w:p w:rsidR="00FD766F" w:rsidRDefault="00FD766F" w:rsidP="00FD766F">
      <w:pPr>
        <w:pStyle w:val="ad"/>
        <w:spacing w:after="0" w:line="360" w:lineRule="auto"/>
        <w:ind w:left="368" w:right="-142"/>
        <w:jc w:val="both"/>
        <w:rPr>
          <w:rFonts w:ascii="David" w:hAnsi="David" w:cs="David"/>
          <w:sz w:val="24"/>
          <w:szCs w:val="24"/>
          <w:rtl/>
        </w:rPr>
      </w:pPr>
    </w:p>
    <w:p w:rsidR="00FD766F" w:rsidRDefault="00FD766F" w:rsidP="00FD766F">
      <w:pPr>
        <w:spacing w:line="360" w:lineRule="auto"/>
        <w:jc w:val="both"/>
        <w:rPr>
          <w:rFonts w:ascii="David" w:hAnsi="David"/>
          <w:b/>
          <w:bCs/>
          <w:u w:val="single"/>
          <w:rtl/>
        </w:rPr>
      </w:pPr>
      <w:r>
        <w:rPr>
          <w:rFonts w:ascii="David" w:hAnsi="David"/>
          <w:b/>
          <w:bCs/>
          <w:u w:val="single"/>
          <w:rtl/>
        </w:rPr>
        <w:t>הסוגיה הראשונה</w:t>
      </w:r>
    </w:p>
    <w:p w:rsidR="00FD766F" w:rsidRDefault="00FD766F" w:rsidP="00FD766F">
      <w:pPr>
        <w:spacing w:line="360" w:lineRule="auto"/>
        <w:jc w:val="both"/>
        <w:rPr>
          <w:rFonts w:ascii="David" w:hAnsi="David"/>
          <w:rtl/>
        </w:rPr>
      </w:pPr>
    </w:p>
    <w:p w:rsidR="00FD766F" w:rsidRDefault="00FD766F" w:rsidP="00FD766F">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הסוגיה הראשונה עניינה כאמור, האם פסק הדין משנת 2021 הורה על עריכת תחשיב על בסיס הפעולות שבוצעו בתיק ההוצל"פ </w:t>
      </w:r>
      <w:r>
        <w:rPr>
          <w:rFonts w:ascii="David" w:hAnsi="David" w:cs="David"/>
          <w:b/>
          <w:bCs/>
          <w:sz w:val="24"/>
          <w:szCs w:val="24"/>
          <w:rtl/>
        </w:rPr>
        <w:t>בלבד</w:t>
      </w:r>
      <w:r>
        <w:rPr>
          <w:rFonts w:ascii="David" w:hAnsi="David" w:cs="David"/>
          <w:sz w:val="24"/>
          <w:szCs w:val="24"/>
          <w:rtl/>
        </w:rPr>
        <w:t xml:space="preserve">, או שמא מדובר היה </w:t>
      </w:r>
      <w:r w:rsidRPr="00BC798A">
        <w:rPr>
          <w:rFonts w:ascii="David" w:hAnsi="David" w:cs="David"/>
          <w:sz w:val="24"/>
          <w:szCs w:val="24"/>
          <w:rtl/>
        </w:rPr>
        <w:t>ב</w:t>
      </w:r>
      <w:r w:rsidR="003377E5" w:rsidRPr="00BC798A">
        <w:rPr>
          <w:rFonts w:ascii="David" w:hAnsi="David" w:cs="David" w:hint="cs"/>
          <w:sz w:val="24"/>
          <w:szCs w:val="24"/>
          <w:rtl/>
        </w:rPr>
        <w:t>עריכת</w:t>
      </w:r>
      <w:r w:rsidR="003377E5">
        <w:rPr>
          <w:rFonts w:ascii="David" w:hAnsi="David" w:cs="David" w:hint="cs"/>
          <w:sz w:val="24"/>
          <w:szCs w:val="24"/>
          <w:rtl/>
        </w:rPr>
        <w:t xml:space="preserve"> </w:t>
      </w:r>
      <w:r>
        <w:rPr>
          <w:rFonts w:ascii="David" w:hAnsi="David" w:cs="David"/>
          <w:sz w:val="24"/>
          <w:szCs w:val="24"/>
          <w:rtl/>
        </w:rPr>
        <w:t xml:space="preserve">תחשיב כולל, החל מהמועד עליו הסכימו הצדדים בפסק הדין משנת 2021 ואילך. נפנה להחלטת כב' הרשמת בסוגיה זו. </w:t>
      </w:r>
    </w:p>
    <w:p w:rsidR="00FD766F" w:rsidRDefault="00FD766F" w:rsidP="00FD766F">
      <w:pPr>
        <w:pStyle w:val="ad"/>
        <w:spacing w:after="0" w:line="360" w:lineRule="auto"/>
        <w:ind w:left="368"/>
        <w:jc w:val="both"/>
        <w:rPr>
          <w:rFonts w:ascii="David" w:hAnsi="David" w:cs="David"/>
          <w:sz w:val="24"/>
          <w:szCs w:val="24"/>
        </w:rPr>
      </w:pPr>
    </w:p>
    <w:p w:rsidR="00FD766F" w:rsidRDefault="00FD766F" w:rsidP="00FD766F">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כב' הרשמת דחתה את עמדת האישה ואת תחשיב המומחה לעניין עדכון החיוב לתקופה: 7/17-6/20 בציינה כך:</w:t>
      </w:r>
    </w:p>
    <w:p w:rsidR="00FD766F" w:rsidRDefault="00FD766F" w:rsidP="00FD766F">
      <w:pPr>
        <w:pStyle w:val="ad"/>
        <w:spacing w:after="0" w:line="360" w:lineRule="auto"/>
        <w:ind w:left="368"/>
        <w:jc w:val="both"/>
        <w:rPr>
          <w:rFonts w:ascii="David" w:hAnsi="David" w:cs="David"/>
          <w:sz w:val="24"/>
          <w:szCs w:val="24"/>
        </w:rPr>
      </w:pPr>
    </w:p>
    <w:p w:rsidR="00FD766F" w:rsidRDefault="00FD766F" w:rsidP="00FD766F">
      <w:pPr>
        <w:spacing w:line="360" w:lineRule="auto"/>
        <w:ind w:left="728" w:right="709"/>
        <w:jc w:val="both"/>
        <w:rPr>
          <w:rFonts w:ascii="David" w:hAnsi="David"/>
          <w:b/>
          <w:bCs/>
          <w:rtl/>
        </w:rPr>
      </w:pPr>
      <w:r>
        <w:rPr>
          <w:rFonts w:ascii="David" w:hAnsi="David"/>
          <w:rtl/>
        </w:rPr>
        <w:t>"</w:t>
      </w:r>
      <w:r>
        <w:rPr>
          <w:rFonts w:ascii="David" w:hAnsi="David"/>
          <w:b/>
          <w:bCs/>
          <w:rtl/>
        </w:rPr>
        <w:t xml:space="preserve">51. כאמור בהתאם להוראות פס"ד הרביעי </w:t>
      </w:r>
      <w:r>
        <w:rPr>
          <w:rFonts w:ascii="David" w:hAnsi="David"/>
          <w:rtl/>
        </w:rPr>
        <w:t xml:space="preserve">[פסק הדין משנת 2021- לז"ק] </w:t>
      </w:r>
      <w:r>
        <w:rPr>
          <w:rFonts w:ascii="David" w:hAnsi="David"/>
          <w:b/>
          <w:bCs/>
          <w:rtl/>
        </w:rPr>
        <w:t xml:space="preserve">היה על המומחה לערוך חישוב חוב המזונות החל ממועד הגדלת חוב המזונות, בקיזוז הסכומים ששולמו. משכך, המומחה לא יכול היה לפעול להוספת חיובים הגם שאלו לא נתבקשו ע"י הזוכה בתיק ההוצל"פ. </w:t>
      </w:r>
    </w:p>
    <w:p w:rsidR="00FD766F" w:rsidRDefault="00FD766F" w:rsidP="00FD766F">
      <w:pPr>
        <w:spacing w:line="360" w:lineRule="auto"/>
        <w:ind w:left="226"/>
        <w:jc w:val="both"/>
        <w:rPr>
          <w:rFonts w:ascii="David" w:hAnsi="David"/>
          <w:b/>
          <w:bCs/>
          <w:rtl/>
        </w:rPr>
      </w:pPr>
    </w:p>
    <w:p w:rsidR="00FD766F" w:rsidRDefault="00FD766F" w:rsidP="00FD766F">
      <w:pPr>
        <w:spacing w:line="360" w:lineRule="auto"/>
        <w:ind w:left="728" w:right="709"/>
        <w:jc w:val="both"/>
        <w:rPr>
          <w:rFonts w:ascii="David" w:hAnsi="David"/>
          <w:b/>
          <w:bCs/>
          <w:rtl/>
        </w:rPr>
      </w:pPr>
      <w:r>
        <w:rPr>
          <w:rFonts w:ascii="David" w:hAnsi="David"/>
          <w:b/>
          <w:bCs/>
          <w:rtl/>
        </w:rPr>
        <w:t xml:space="preserve">52. איני מקבלת את טענת הזוכה לפיה הגם שלא פעלה להגדיל את החוב בתיק בגין דמי מזונות שוטפים לתקופה מחודש 7/17- 6/20 באופן הנדרש, יש לבצע ההגדלה שביצע המומחה בשוגג בעת עריכת חוות דעתו. יובהר, כי המומחה אינו צד ישיר לתיק, אינו מייצג מי מהצדדים, ותפקידו מתמצא בהוראות שקיבל מהמותב הרלוונטי ותו לא. </w:t>
      </w:r>
    </w:p>
    <w:p w:rsidR="00FD766F" w:rsidRDefault="00FD766F" w:rsidP="00FD766F">
      <w:pPr>
        <w:spacing w:line="360" w:lineRule="auto"/>
        <w:ind w:left="226"/>
        <w:jc w:val="both"/>
        <w:rPr>
          <w:rFonts w:ascii="David" w:hAnsi="David"/>
          <w:b/>
          <w:bCs/>
          <w:rtl/>
        </w:rPr>
      </w:pPr>
    </w:p>
    <w:p w:rsidR="00FD766F" w:rsidRDefault="00FD766F" w:rsidP="00FD766F">
      <w:pPr>
        <w:spacing w:line="360" w:lineRule="auto"/>
        <w:ind w:left="728" w:right="709"/>
        <w:jc w:val="both"/>
        <w:rPr>
          <w:rFonts w:ascii="David" w:hAnsi="David"/>
          <w:rtl/>
        </w:rPr>
      </w:pPr>
      <w:r>
        <w:rPr>
          <w:rFonts w:ascii="David" w:hAnsi="David"/>
          <w:b/>
          <w:bCs/>
          <w:rtl/>
        </w:rPr>
        <w:t xml:space="preserve">53. כאמור לעיל, במסגרת תפקידו פעל המומחה לביצוע הגדלות בגין דמי המזונות השוטפים לחודשים 7/17- 6/20 הגם שלא נדרש לה. ומשכך אין מקום להותיר הגדלות אלו על כנן ואני מורה למומחה לתקן את חוות </w:t>
      </w:r>
      <w:r>
        <w:rPr>
          <w:rFonts w:ascii="David" w:hAnsi="David"/>
          <w:b/>
          <w:bCs/>
          <w:u w:val="single"/>
          <w:rtl/>
        </w:rPr>
        <w:t xml:space="preserve"> </w:t>
      </w:r>
      <w:r>
        <w:rPr>
          <w:rFonts w:ascii="David" w:hAnsi="David"/>
          <w:b/>
          <w:bCs/>
          <w:rtl/>
        </w:rPr>
        <w:t>הדעת באופן שבו לא יוגדלו חיובים בגין דמי המזונות השוטפים בגין תקופות שלא הוגדלו בפועל בתיק ההוצל"פ</w:t>
      </w:r>
      <w:r>
        <w:rPr>
          <w:rFonts w:ascii="David" w:hAnsi="David"/>
          <w:rtl/>
        </w:rPr>
        <w:t xml:space="preserve">". </w:t>
      </w:r>
    </w:p>
    <w:p w:rsidR="003377E5" w:rsidRDefault="003377E5" w:rsidP="00FD766F">
      <w:pPr>
        <w:spacing w:line="360" w:lineRule="auto"/>
        <w:ind w:left="728" w:right="709"/>
        <w:jc w:val="both"/>
        <w:rPr>
          <w:rFonts w:ascii="David" w:hAnsi="David"/>
          <w:rtl/>
        </w:rPr>
      </w:pPr>
    </w:p>
    <w:p w:rsidR="00FD766F" w:rsidRDefault="00FD766F" w:rsidP="00FD766F">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לאחר עיון בפסק הדין המוסכם משנת 2021, בהחלטת הרשמת ובטיעוני הצדדים, שוכנעתי כי הן לשון פסק הדין והן תכליתו, תומכים בעמדת האישה והדברים יובהרו להלן.  </w:t>
      </w:r>
    </w:p>
    <w:p w:rsidR="00FD766F" w:rsidRDefault="00FD766F" w:rsidP="00FD766F">
      <w:pPr>
        <w:pStyle w:val="ad"/>
        <w:spacing w:after="0" w:line="360" w:lineRule="auto"/>
        <w:ind w:left="368"/>
        <w:jc w:val="both"/>
        <w:rPr>
          <w:rFonts w:ascii="David" w:hAnsi="David" w:cs="David"/>
          <w:sz w:val="24"/>
          <w:szCs w:val="24"/>
        </w:rPr>
      </w:pPr>
    </w:p>
    <w:p w:rsidR="00FD766F" w:rsidRDefault="00FD766F" w:rsidP="00BC798A">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lastRenderedPageBreak/>
        <w:t xml:space="preserve">פסק הדין המוסכם משנת 2021 </w:t>
      </w:r>
      <w:r w:rsidR="00BC798A">
        <w:rPr>
          <w:rFonts w:ascii="David" w:hAnsi="David" w:cs="David" w:hint="cs"/>
          <w:sz w:val="24"/>
          <w:szCs w:val="24"/>
          <w:rtl/>
        </w:rPr>
        <w:t>מנוסח בלשון</w:t>
      </w:r>
      <w:r>
        <w:rPr>
          <w:rFonts w:ascii="David" w:hAnsi="David" w:cs="David"/>
          <w:sz w:val="24"/>
          <w:szCs w:val="24"/>
          <w:rtl/>
        </w:rPr>
        <w:t xml:space="preserve"> המעיד</w:t>
      </w:r>
      <w:r w:rsidR="00BC798A">
        <w:rPr>
          <w:rFonts w:ascii="David" w:hAnsi="David" w:cs="David" w:hint="cs"/>
          <w:sz w:val="24"/>
          <w:szCs w:val="24"/>
          <w:rtl/>
        </w:rPr>
        <w:t>ה</w:t>
      </w:r>
      <w:r>
        <w:rPr>
          <w:rFonts w:ascii="David" w:hAnsi="David" w:cs="David"/>
          <w:sz w:val="24"/>
          <w:szCs w:val="24"/>
          <w:rtl/>
        </w:rPr>
        <w:t xml:space="preserve"> על כך שהמתווה המוסכם נועד "</w:t>
      </w:r>
      <w:r>
        <w:rPr>
          <w:rFonts w:ascii="David" w:hAnsi="David" w:cs="David"/>
          <w:b/>
          <w:bCs/>
          <w:sz w:val="24"/>
          <w:szCs w:val="24"/>
          <w:rtl/>
        </w:rPr>
        <w:t xml:space="preserve">לסיים המחלוקת </w:t>
      </w:r>
      <w:r>
        <w:rPr>
          <w:rFonts w:ascii="David" w:hAnsi="David" w:cs="David"/>
          <w:b/>
          <w:bCs/>
          <w:sz w:val="24"/>
          <w:szCs w:val="24"/>
          <w:u w:val="single"/>
          <w:rtl/>
        </w:rPr>
        <w:t>בכללותה</w:t>
      </w:r>
      <w:r>
        <w:rPr>
          <w:rFonts w:ascii="David" w:hAnsi="David" w:cs="David"/>
          <w:sz w:val="24"/>
          <w:szCs w:val="24"/>
          <w:rtl/>
        </w:rPr>
        <w:t xml:space="preserve">", קרי, לא להותיר ספיחי מחלוקות אלא לשים סוף להתדיינות הממושכת בדרך של עריכת תחשיב סופי. יש להניח, לרבות על רקע ריבוי ההליכים ומשכם, כי הצדדים וביהמ"ש ראו לנגד עיניהם את </w:t>
      </w:r>
      <w:r>
        <w:rPr>
          <w:rFonts w:ascii="David" w:hAnsi="David" w:cs="David"/>
          <w:b/>
          <w:bCs/>
          <w:sz w:val="24"/>
          <w:szCs w:val="24"/>
          <w:rtl/>
        </w:rPr>
        <w:t>סופיות</w:t>
      </w:r>
      <w:r>
        <w:rPr>
          <w:rFonts w:ascii="David" w:hAnsi="David" w:cs="David"/>
          <w:sz w:val="24"/>
          <w:szCs w:val="24"/>
          <w:rtl/>
        </w:rPr>
        <w:t xml:space="preserve"> המחלוקת העקרונית ואילו המשך ההתדיינות התמקד רק בנוגע ליישום ההסכמות בפן החישובי. </w:t>
      </w:r>
    </w:p>
    <w:p w:rsidR="00FD766F" w:rsidRDefault="00FD766F" w:rsidP="00FD766F">
      <w:pPr>
        <w:spacing w:line="360" w:lineRule="auto"/>
        <w:jc w:val="both"/>
        <w:rPr>
          <w:rFonts w:ascii="David" w:hAnsi="David"/>
        </w:rPr>
      </w:pPr>
    </w:p>
    <w:p w:rsidR="00FD766F" w:rsidRDefault="00FD766F" w:rsidP="008875A9">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בנוסף לכך, לשון פסק הדין מפנה לתיק ההוצל"פ אך ביחס למועד הראשון ממנו יעודכן החיוב המוסכם משנת 2021. נקבע מפורשות כי החיוב המוסכם יתעדכן מאותו המועד ואילך, בקיזוז הסכומים ששולמו. למעשה, אין בלשון פסק הדין כל הוראה לפיה החל מהמועד בו יעודכן החיוב המוסכם, על המומחה להסתמך על דפי החשבון שבתיק ההוצל"פ בלבד</w:t>
      </w:r>
      <w:r w:rsidR="00BC798A">
        <w:rPr>
          <w:rFonts w:ascii="David" w:hAnsi="David" w:cs="David" w:hint="cs"/>
          <w:sz w:val="24"/>
          <w:szCs w:val="24"/>
          <w:rtl/>
        </w:rPr>
        <w:t xml:space="preserve"> ול</w:t>
      </w:r>
      <w:r w:rsidR="008875A9">
        <w:rPr>
          <w:rFonts w:ascii="David" w:hAnsi="David" w:cs="David" w:hint="cs"/>
          <w:sz w:val="24"/>
          <w:szCs w:val="24"/>
          <w:rtl/>
        </w:rPr>
        <w:t>עדכן את הסכום המוסכם רק באותם מועדים שבהם עודכנה בתיק ההוצל"פ קרן שוטפת/הוגדל החוב. בהתאמה, אף ההוראה כי יופחתו הסכומים ששולמו על ידי האיש, ניתנה כהוראה כללית ולא ככזו הנסמכת בהכרח או באופן בלעדי על הקטנות החוב שעודכנו בתיק ההוצל"פ.</w:t>
      </w:r>
    </w:p>
    <w:p w:rsidR="00FD766F" w:rsidRDefault="00FD766F" w:rsidP="00FD766F">
      <w:pPr>
        <w:pStyle w:val="ad"/>
        <w:rPr>
          <w:rFonts w:ascii="David" w:hAnsi="David" w:cs="David"/>
          <w:sz w:val="24"/>
          <w:szCs w:val="24"/>
        </w:rPr>
      </w:pPr>
    </w:p>
    <w:p w:rsidR="00FD766F" w:rsidRDefault="00FD766F" w:rsidP="006536BA">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הדעת נותנת כי הצדדים ביקשו לקבוע מועד שממנו יעודכן החיוב המוסכם וכי מאותו המועד יידרש המומחה לעדכן את החוב על פי החיוב המוסכם, מדי חודש בחודשו, בקיזוז כל תשלום ששולם. לו רצו הצדדים להחריג מהחישוב תקופות מסוימות, היה עליהם לציין זאת במפורש. לו רצו הצדדים לקבוע כי התחשיב יסתמך באופן בלעדי על דפי החשבון בתיק ההוצל"פ, לא היו קובעים קביעה גורפת לפיה החיוב המוסכם יעודכן "ממועד זה", אלא מציינים כי אותו חיוב מוסכם יעודכן רק ביחס למועדים ולתקופות בהם עודכן החיוב </w:t>
      </w:r>
      <w:r w:rsidR="006536BA">
        <w:rPr>
          <w:rFonts w:ascii="David" w:hAnsi="David" w:cs="David" w:hint="cs"/>
          <w:sz w:val="24"/>
          <w:szCs w:val="24"/>
          <w:rtl/>
        </w:rPr>
        <w:t>בפועל בתיק ההוצל"פ.</w:t>
      </w:r>
    </w:p>
    <w:p w:rsidR="00FD766F" w:rsidRDefault="00FD766F" w:rsidP="00FD766F">
      <w:pPr>
        <w:pStyle w:val="ad"/>
        <w:rPr>
          <w:rFonts w:ascii="David" w:hAnsi="David" w:cs="David"/>
          <w:sz w:val="24"/>
          <w:szCs w:val="24"/>
        </w:rPr>
      </w:pPr>
    </w:p>
    <w:p w:rsidR="00FD766F" w:rsidRDefault="00FD766F" w:rsidP="006536BA">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ודוק, הסיבה בגינה נדחו </w:t>
      </w:r>
      <w:r w:rsidR="002A34B4">
        <w:rPr>
          <w:rFonts w:ascii="David" w:hAnsi="David" w:cs="David" w:hint="cs"/>
          <w:sz w:val="24"/>
          <w:szCs w:val="24"/>
          <w:rtl/>
        </w:rPr>
        <w:t xml:space="preserve">בשעתו </w:t>
      </w:r>
      <w:r>
        <w:rPr>
          <w:rFonts w:ascii="David" w:hAnsi="David" w:cs="David"/>
          <w:sz w:val="24"/>
          <w:szCs w:val="24"/>
          <w:rtl/>
        </w:rPr>
        <w:t xml:space="preserve">בקשות האישה להגדלת קרן החוב בתקופה שבמחלוקת, נבעה מכך שהאישה לא פעלה לעדכון מלוא תשלומי האיש. ברי כי משנערך תחשיב סופי הכולל את כלל תשלומי האיש, הוסרה המניעה להגדלת החוב בגין התקופה שבמחלוקת. משכך, אי כלילת התקופה שבמחלוקת בתחשיב המומחה, מפרה את האיזון שנקבע בפסק הדין המוסכם משנת 2021 (לעניין עדכון החיובים מחד גיסא ועדכון תשלומי האיש מאידך גיסא) </w:t>
      </w:r>
      <w:r w:rsidR="006536BA">
        <w:rPr>
          <w:rFonts w:ascii="David" w:hAnsi="David" w:cs="David" w:hint="cs"/>
          <w:sz w:val="24"/>
          <w:szCs w:val="24"/>
          <w:rtl/>
        </w:rPr>
        <w:t>ועלולה להוביל לתוצאה שאינה הוגנת</w:t>
      </w:r>
      <w:r>
        <w:rPr>
          <w:rFonts w:ascii="David" w:hAnsi="David" w:cs="David"/>
          <w:sz w:val="24"/>
          <w:szCs w:val="24"/>
          <w:rtl/>
        </w:rPr>
        <w:t xml:space="preserve">. בנוסף, היא מותירה פתח להתדיינות נוספת, עניין אותו ביקשו הצדדים למנוע. כמו כן, העובדה שלא הוסכם בפסק הדין משנת 2021 מפורשות כי האישה תוותר על הגדלת החוב בתקופה שבמחלוקת, תומכת במסקנותיי דלעיל.  </w:t>
      </w:r>
    </w:p>
    <w:p w:rsidR="00FD766F" w:rsidRDefault="00FD766F" w:rsidP="00FD766F">
      <w:pPr>
        <w:pStyle w:val="ad"/>
        <w:rPr>
          <w:rFonts w:ascii="David" w:hAnsi="David" w:cs="David"/>
          <w:sz w:val="24"/>
          <w:szCs w:val="24"/>
        </w:rPr>
      </w:pPr>
    </w:p>
    <w:p w:rsidR="00FD766F" w:rsidRDefault="00FD766F" w:rsidP="00FD766F">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אולם, גם אם אלך על פי הדרך הפרשנית אותה מבקש האיש לאמץ, קרי, כי פסק הדין משנת 2021 הורה על עדכון תיק ההוצל"פ ביחס להגדלות החוב שבוצעו בו בפועל בלבד, שוכנעתי שבסופו של יום, לא יהיה בכך כדי להועיל לאיש, שכן אין כל מניעה לפעול להגדלת החוב ביחס לתקופה שבמחלוקת, גם כיום. אנמק. </w:t>
      </w:r>
    </w:p>
    <w:p w:rsidR="00FD766F" w:rsidRDefault="00FD766F" w:rsidP="00FD766F">
      <w:pPr>
        <w:pStyle w:val="ad"/>
        <w:rPr>
          <w:rFonts w:ascii="David" w:hAnsi="David" w:cs="David"/>
          <w:sz w:val="24"/>
          <w:szCs w:val="24"/>
        </w:rPr>
      </w:pPr>
    </w:p>
    <w:p w:rsidR="00FD766F" w:rsidRDefault="00FD766F" w:rsidP="00FD766F">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אזכיר כי לטענת האיש כאמור, בקשות מטעם האישה להגדלת החוב בתיק ההוצל"פ ביחס לתקופה שבמחלוקת, נדחו פעם אחר פעם ובסופו של יום נזנחו על ידה. כמצוין לעיל, האישה הגישה תביעה למתן היתר לפי סעיף 11(ב) לחוק לתיקון דיני משפחה (מזונות) התשי"ט – 1959. </w:t>
      </w:r>
    </w:p>
    <w:p w:rsidR="00FD766F" w:rsidRDefault="00FD766F" w:rsidP="00FD766F">
      <w:pPr>
        <w:pStyle w:val="ad"/>
        <w:rPr>
          <w:rFonts w:ascii="David" w:hAnsi="David" w:cs="David"/>
          <w:sz w:val="24"/>
          <w:szCs w:val="24"/>
        </w:rPr>
      </w:pPr>
    </w:p>
    <w:p w:rsidR="000F40F8" w:rsidRDefault="00FD766F" w:rsidP="008F31F8">
      <w:pPr>
        <w:pStyle w:val="ad"/>
        <w:numPr>
          <w:ilvl w:val="0"/>
          <w:numId w:val="1"/>
        </w:numPr>
        <w:spacing w:after="0" w:line="360" w:lineRule="auto"/>
        <w:ind w:left="368"/>
        <w:jc w:val="both"/>
        <w:rPr>
          <w:rFonts w:ascii="David" w:hAnsi="David" w:cs="David"/>
          <w:sz w:val="24"/>
          <w:szCs w:val="24"/>
        </w:rPr>
      </w:pPr>
      <w:r w:rsidRPr="00AD1F3F">
        <w:rPr>
          <w:rFonts w:ascii="David" w:hAnsi="David" w:cs="David"/>
          <w:sz w:val="24"/>
          <w:szCs w:val="24"/>
          <w:rtl/>
        </w:rPr>
        <w:t xml:space="preserve">בנסיבות </w:t>
      </w:r>
      <w:r w:rsidR="008F31F8" w:rsidRPr="00AD1F3F">
        <w:rPr>
          <w:rFonts w:ascii="David" w:hAnsi="David" w:cs="David" w:hint="cs"/>
          <w:sz w:val="24"/>
          <w:szCs w:val="24"/>
          <w:rtl/>
        </w:rPr>
        <w:t xml:space="preserve">ענייננו </w:t>
      </w:r>
      <w:r w:rsidRPr="00AD1F3F">
        <w:rPr>
          <w:rFonts w:ascii="David" w:hAnsi="David" w:cs="David"/>
          <w:sz w:val="24"/>
          <w:szCs w:val="24"/>
          <w:rtl/>
        </w:rPr>
        <w:t>תיק ה</w:t>
      </w:r>
      <w:r w:rsidR="008F31F8" w:rsidRPr="00AD1F3F">
        <w:rPr>
          <w:rFonts w:ascii="David" w:hAnsi="David" w:cs="David"/>
          <w:sz w:val="24"/>
          <w:szCs w:val="24"/>
          <w:rtl/>
        </w:rPr>
        <w:t>הוצל"פ נותר פתוח לאורך כל השנים</w:t>
      </w:r>
      <w:r w:rsidRPr="00AD1F3F">
        <w:rPr>
          <w:rFonts w:ascii="David" w:hAnsi="David" w:cs="David"/>
          <w:sz w:val="24"/>
          <w:szCs w:val="24"/>
          <w:rtl/>
        </w:rPr>
        <w:t xml:space="preserve"> </w:t>
      </w:r>
      <w:r w:rsidR="008F31F8" w:rsidRPr="00AD1F3F">
        <w:rPr>
          <w:rFonts w:ascii="David" w:hAnsi="David" w:cs="David" w:hint="cs"/>
          <w:sz w:val="24"/>
          <w:szCs w:val="24"/>
          <w:rtl/>
        </w:rPr>
        <w:t>ו</w:t>
      </w:r>
      <w:r w:rsidRPr="00AD1F3F">
        <w:rPr>
          <w:rFonts w:ascii="David" w:hAnsi="David" w:cs="David"/>
          <w:sz w:val="24"/>
          <w:szCs w:val="24"/>
          <w:rtl/>
        </w:rPr>
        <w:t>האישה עתרה מספר פעמים להגדלת חוב המזונות בגין התקופה שבמחלוקת</w:t>
      </w:r>
      <w:r w:rsidR="008F31F8" w:rsidRPr="00AD1F3F">
        <w:rPr>
          <w:rFonts w:ascii="David" w:hAnsi="David" w:cs="David" w:hint="cs"/>
          <w:sz w:val="24"/>
          <w:szCs w:val="24"/>
          <w:rtl/>
        </w:rPr>
        <w:t xml:space="preserve">. בקשותיה נדחו </w:t>
      </w:r>
      <w:r w:rsidRPr="00AD1F3F">
        <w:rPr>
          <w:rFonts w:ascii="David" w:hAnsi="David" w:cs="David"/>
          <w:sz w:val="24"/>
          <w:szCs w:val="24"/>
          <w:rtl/>
        </w:rPr>
        <w:t xml:space="preserve">תוך הותרת פתח לחידוש הבקשה לאחר מילוי התנאים שנקבעו - דיווח על כלל התשלומים ששולמו לה תחילה (ראו למשל החלטות הרשמת מיום 25.6.27, מיום 2.10.17 ומיום 2.1.19). </w:t>
      </w:r>
      <w:r w:rsidR="008F31F8" w:rsidRPr="00AD1F3F">
        <w:rPr>
          <w:rFonts w:ascii="David" w:hAnsi="David" w:cs="David" w:hint="cs"/>
          <w:sz w:val="24"/>
          <w:szCs w:val="24"/>
          <w:rtl/>
        </w:rPr>
        <w:t>סבורני כי בנסיבות אלה, ו</w:t>
      </w:r>
      <w:r w:rsidRPr="00AD1F3F">
        <w:rPr>
          <w:rFonts w:ascii="David" w:hAnsi="David" w:cs="David"/>
          <w:sz w:val="24"/>
          <w:szCs w:val="24"/>
          <w:rtl/>
        </w:rPr>
        <w:t>בשים לב לגובה החוב בתיק ולריבוי ההליכים והמחלוקות בין הצדדים,</w:t>
      </w:r>
      <w:r>
        <w:rPr>
          <w:rFonts w:ascii="David" w:hAnsi="David" w:cs="David"/>
          <w:sz w:val="24"/>
          <w:szCs w:val="24"/>
          <w:rtl/>
        </w:rPr>
        <w:t xml:space="preserve"> ניתן בנקל לקבוע כי האישה לא ויתרה על חיובי המזונות שנפסקו לטובתה, גם אם חלקם לא הוגדל בסופו של יום בתיק ההוצל"פ </w:t>
      </w:r>
      <w:r w:rsidR="008F31F8">
        <w:rPr>
          <w:rFonts w:ascii="David" w:hAnsi="David" w:cs="David" w:hint="cs"/>
          <w:sz w:val="24"/>
          <w:szCs w:val="24"/>
          <w:rtl/>
        </w:rPr>
        <w:t>ביחס לחלק</w:t>
      </w:r>
      <w:r>
        <w:rPr>
          <w:rFonts w:ascii="David" w:hAnsi="David" w:cs="David"/>
          <w:sz w:val="24"/>
          <w:szCs w:val="24"/>
          <w:rtl/>
        </w:rPr>
        <w:t xml:space="preserve"> מהתקופות. </w:t>
      </w:r>
    </w:p>
    <w:p w:rsidR="000F40F8" w:rsidRPr="000F40F8" w:rsidRDefault="000F40F8" w:rsidP="000F40F8">
      <w:pPr>
        <w:pStyle w:val="ad"/>
        <w:rPr>
          <w:rFonts w:ascii="David" w:hAnsi="David" w:cs="David"/>
          <w:sz w:val="24"/>
          <w:szCs w:val="24"/>
          <w:rtl/>
        </w:rPr>
      </w:pPr>
    </w:p>
    <w:p w:rsidR="00FD766F" w:rsidRDefault="00FD766F" w:rsidP="002A34B4">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יתרה מכך, בהתאם לפסיקה הנוהגת, אין כל צורך בפנייה לביהמ"ש לקבלת אישור לגביית מזונות לפי סעיף 11(ב) לחוק, בשעה שתיק ההוצל"פ נותר כל השנים פתוח, שכן אין מדובר במזונות שטרם החלו לפעול לגבייתם (אפנה בנדון לסקירה המקיפה והמפורטת שהובאה בפסק הדין שניתן זה לא מכבר על ידי כב' הש' א. פטל ב-ע"ר (חי') </w:t>
      </w:r>
      <w:r>
        <w:rPr>
          <w:rFonts w:ascii="David" w:hAnsi="David" w:cs="David"/>
          <w:b/>
          <w:bCs/>
          <w:sz w:val="24"/>
          <w:szCs w:val="24"/>
          <w:rtl/>
        </w:rPr>
        <w:t>פלוני נ' פלונית</w:t>
      </w:r>
      <w:r>
        <w:rPr>
          <w:rFonts w:ascii="David" w:hAnsi="David" w:cs="David"/>
          <w:sz w:val="24"/>
          <w:szCs w:val="24"/>
          <w:rtl/>
        </w:rPr>
        <w:t xml:space="preserve"> 9.8.24, פסקאות: 14.8-14.11). אעיר בהקשר זה</w:t>
      </w:r>
      <w:r w:rsidR="002A34B4">
        <w:rPr>
          <w:rFonts w:ascii="David" w:hAnsi="David" w:cs="David" w:hint="cs"/>
          <w:sz w:val="24"/>
          <w:szCs w:val="24"/>
          <w:rtl/>
        </w:rPr>
        <w:t xml:space="preserve"> עוד,</w:t>
      </w:r>
      <w:r>
        <w:rPr>
          <w:rFonts w:ascii="David" w:hAnsi="David" w:cs="David"/>
          <w:sz w:val="24"/>
          <w:szCs w:val="24"/>
          <w:rtl/>
        </w:rPr>
        <w:t xml:space="preserve"> כי הדיון בכל הנוגע לסעיף 11(ב) לחוק יוצא מנקודת הנחה שהחוק הנ"ל חל על הצדדים, סוגיה שנוכח מסקנתי דלעיל, לא מצאתי מקום להידרש אליה. </w:t>
      </w:r>
    </w:p>
    <w:p w:rsidR="00FD766F" w:rsidRDefault="00FD766F" w:rsidP="00FD766F">
      <w:pPr>
        <w:pStyle w:val="ad"/>
        <w:rPr>
          <w:rFonts w:ascii="David" w:hAnsi="David" w:cs="David"/>
          <w:sz w:val="24"/>
          <w:szCs w:val="24"/>
        </w:rPr>
      </w:pPr>
    </w:p>
    <w:p w:rsidR="00FD766F" w:rsidRDefault="00FD766F" w:rsidP="002A34B4">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נוכח האמור לעיל אני קובעת כי הן לשון פסק הדין והן תכליתו תומכים שניהם בפרשנות לפיה פסק הדין המוסכם משנת 2021 נועד להביא לסיום סופי של המחלוקת בכללותה, החל מהמועד בו עודכן החיוב בתיק ההוצל"פ ואילך. כאמור, אין כל הוראה בפסק הדין המוסכם לפיה ממועד עדכון החיוב, על המומחה להתבסס על נתוני תיק ההוצל"פ באופן בלעדי, ולהשמיט את החיוב השוטף המוסכם בתקופות מסוימות, בדומה לכך שלא הוגבלו קיזוזי החוב לתשלומים ששולמו ועודכנו בתיק ההוצל"פ. המניעה בגינה לא הוגדל החוב בתקופה שבמחלוקת הוסרה מעת שנערך תחשיב מסודר של הפחתת כלל תשלומי האיש. מעבר לאמור עמדתי על כך שאף לו היה מקום לקבל את פרשנות האיש, אזי במילא לא היה צורך בהגשת תביעה לפי סעיף 11(ב). </w:t>
      </w:r>
      <w:r w:rsidRPr="000F40F8">
        <w:rPr>
          <w:rFonts w:ascii="David" w:hAnsi="David" w:cs="David"/>
          <w:b/>
          <w:bCs/>
          <w:sz w:val="24"/>
          <w:szCs w:val="24"/>
          <w:rtl/>
        </w:rPr>
        <w:t xml:space="preserve">לאור מסקנתי זו, </w:t>
      </w:r>
      <w:r w:rsidR="000F40F8" w:rsidRPr="000F40F8">
        <w:rPr>
          <w:rFonts w:ascii="David" w:hAnsi="David" w:cs="David" w:hint="cs"/>
          <w:b/>
          <w:bCs/>
          <w:sz w:val="24"/>
          <w:szCs w:val="24"/>
          <w:rtl/>
        </w:rPr>
        <w:t xml:space="preserve">אף </w:t>
      </w:r>
      <w:r w:rsidRPr="000F40F8">
        <w:rPr>
          <w:rFonts w:ascii="David" w:hAnsi="David" w:cs="David"/>
          <w:b/>
          <w:bCs/>
          <w:sz w:val="24"/>
          <w:szCs w:val="24"/>
          <w:rtl/>
        </w:rPr>
        <w:t>מתייתרת התביעה הנוספת שהוגשה למתן אישור לגבייה לפי סעיף 11</w:t>
      </w:r>
      <w:r w:rsidRPr="000F40F8">
        <w:rPr>
          <w:rFonts w:ascii="David" w:hAnsi="David" w:cs="David"/>
          <w:b/>
          <w:bCs/>
          <w:sz w:val="24"/>
          <w:szCs w:val="24"/>
        </w:rPr>
        <w:t>)</w:t>
      </w:r>
      <w:r w:rsidRPr="000F40F8">
        <w:rPr>
          <w:rFonts w:ascii="David" w:hAnsi="David" w:cs="David"/>
          <w:b/>
          <w:bCs/>
          <w:sz w:val="24"/>
          <w:szCs w:val="24"/>
          <w:rtl/>
        </w:rPr>
        <w:t>ב) ואני מורה על מחיקתה</w:t>
      </w:r>
      <w:r>
        <w:rPr>
          <w:rFonts w:ascii="David" w:hAnsi="David" w:cs="David"/>
          <w:sz w:val="24"/>
          <w:szCs w:val="24"/>
          <w:rtl/>
        </w:rPr>
        <w:t>.</w:t>
      </w:r>
    </w:p>
    <w:p w:rsidR="00FD766F" w:rsidRDefault="00FD766F" w:rsidP="00FD766F">
      <w:pPr>
        <w:pStyle w:val="ad"/>
        <w:rPr>
          <w:rFonts w:ascii="David" w:hAnsi="David" w:cs="David"/>
          <w:sz w:val="24"/>
          <w:szCs w:val="24"/>
        </w:rPr>
      </w:pPr>
    </w:p>
    <w:p w:rsidR="00FD766F" w:rsidRPr="002A34B4" w:rsidRDefault="00FD766F" w:rsidP="00AD1F3F">
      <w:pPr>
        <w:pStyle w:val="ad"/>
        <w:numPr>
          <w:ilvl w:val="0"/>
          <w:numId w:val="1"/>
        </w:numPr>
        <w:spacing w:after="0" w:line="360" w:lineRule="auto"/>
        <w:ind w:left="368"/>
        <w:jc w:val="both"/>
        <w:rPr>
          <w:rFonts w:ascii="David" w:hAnsi="David" w:cs="David"/>
          <w:sz w:val="24"/>
          <w:szCs w:val="24"/>
          <w:rtl/>
        </w:rPr>
      </w:pPr>
      <w:r w:rsidRPr="002A34B4">
        <w:rPr>
          <w:rFonts w:ascii="David" w:hAnsi="David" w:cs="David"/>
          <w:sz w:val="24"/>
          <w:szCs w:val="24"/>
          <w:rtl/>
        </w:rPr>
        <w:t>עם זאת, נוכח השיהוי בו נקטה האישה במילוי אחר הוראות רשם ההוצל"פ אני מורה כי להגדלת הקרן בתקופה שבמחלוקת לא תתווסף ריבית פיגורים</w:t>
      </w:r>
      <w:r w:rsidR="00AD1F3F" w:rsidRPr="002A34B4">
        <w:rPr>
          <w:rFonts w:ascii="David" w:hAnsi="David" w:cs="David" w:hint="cs"/>
          <w:sz w:val="24"/>
          <w:szCs w:val="24"/>
          <w:rtl/>
        </w:rPr>
        <w:t>.</w:t>
      </w:r>
    </w:p>
    <w:p w:rsidR="00FD766F" w:rsidRDefault="00FD766F" w:rsidP="00FD766F">
      <w:pPr>
        <w:pStyle w:val="ad"/>
        <w:rPr>
          <w:rFonts w:ascii="David" w:hAnsi="David" w:cs="David"/>
          <w:sz w:val="24"/>
          <w:szCs w:val="24"/>
        </w:rPr>
      </w:pPr>
    </w:p>
    <w:p w:rsidR="00FD766F" w:rsidRDefault="00FD766F" w:rsidP="00FD766F">
      <w:pPr>
        <w:spacing w:line="360" w:lineRule="auto"/>
        <w:jc w:val="both"/>
        <w:rPr>
          <w:rFonts w:ascii="David" w:hAnsi="David"/>
          <w:b/>
          <w:bCs/>
          <w:u w:val="single"/>
          <w:rtl/>
        </w:rPr>
      </w:pPr>
      <w:r>
        <w:rPr>
          <w:rFonts w:ascii="David" w:hAnsi="David"/>
          <w:b/>
          <w:bCs/>
          <w:u w:val="single"/>
          <w:rtl/>
        </w:rPr>
        <w:t>הסוגיה השנייה</w:t>
      </w:r>
    </w:p>
    <w:p w:rsidR="00FD766F" w:rsidRDefault="00FD766F" w:rsidP="00FD766F">
      <w:pPr>
        <w:spacing w:line="360" w:lineRule="auto"/>
        <w:jc w:val="both"/>
        <w:rPr>
          <w:rFonts w:ascii="David" w:hAnsi="David"/>
        </w:rPr>
      </w:pPr>
    </w:p>
    <w:p w:rsidR="00FD766F" w:rsidRDefault="00FD766F" w:rsidP="002A34B4">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הסוגיה השנייה עניינה המועד ממנו היה על המומחה לעדכן את החיוב המוסכם שנקבע בפסק הדין משנת 2021. האם המועד בו עודכן לראשונה פסק הדין משנת 2010 בתיק ההוצל"פ (מועד הגשת התביעה – 7/2019) או שמא המועד </w:t>
      </w:r>
      <w:r w:rsidR="002A34B4">
        <w:rPr>
          <w:rFonts w:ascii="David" w:hAnsi="David" w:cs="David" w:hint="cs"/>
          <w:sz w:val="24"/>
          <w:szCs w:val="24"/>
          <w:rtl/>
        </w:rPr>
        <w:t>שנקבע ב</w:t>
      </w:r>
      <w:r>
        <w:rPr>
          <w:rFonts w:ascii="David" w:hAnsi="David" w:cs="David"/>
          <w:sz w:val="24"/>
          <w:szCs w:val="24"/>
          <w:rtl/>
        </w:rPr>
        <w:t xml:space="preserve">פסק הדין בערעור (2/2012). </w:t>
      </w:r>
    </w:p>
    <w:p w:rsidR="00FD766F" w:rsidRDefault="00FD766F" w:rsidP="00FD766F">
      <w:pPr>
        <w:pStyle w:val="ad"/>
        <w:spacing w:after="0" w:line="360" w:lineRule="auto"/>
        <w:ind w:left="368"/>
        <w:jc w:val="both"/>
        <w:rPr>
          <w:rFonts w:ascii="David" w:hAnsi="David" w:cs="David"/>
          <w:sz w:val="24"/>
          <w:szCs w:val="24"/>
        </w:rPr>
      </w:pPr>
    </w:p>
    <w:p w:rsidR="00FD766F" w:rsidRDefault="00FD766F" w:rsidP="00FD766F">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 xml:space="preserve">לטענת האיש, הסכמות הצדדים לא יכלו לחרוג מפסק הדין של ביהמ"ש המחוזי אשר ביטל את המזונות שנקבעו בפסק הדין משנת 2010 עד לחודש 2/12. לפיכך, לא ניתן לשיטתו לעדכן את הסכום המוסכם בסך של 2,500 ₪ רטרואקטיבית וקודם למועד הנ"ל. </w:t>
      </w:r>
    </w:p>
    <w:p w:rsidR="00FD766F" w:rsidRDefault="00FD766F" w:rsidP="00FD766F">
      <w:pPr>
        <w:pStyle w:val="ad"/>
        <w:rPr>
          <w:rFonts w:ascii="David" w:hAnsi="David" w:cs="David"/>
          <w:sz w:val="24"/>
          <w:szCs w:val="24"/>
        </w:rPr>
      </w:pPr>
    </w:p>
    <w:p w:rsidR="00FD766F" w:rsidRDefault="00FD766F" w:rsidP="00FD766F">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נשוב לבחינת לשון פסק הדין משנת 2021 (ההדגשות אינן במקור):</w:t>
      </w:r>
    </w:p>
    <w:p w:rsidR="00FD766F" w:rsidRDefault="00FD766F" w:rsidP="00FD766F">
      <w:pPr>
        <w:pStyle w:val="ad"/>
        <w:rPr>
          <w:rFonts w:ascii="David" w:hAnsi="David" w:cs="David"/>
          <w:sz w:val="24"/>
          <w:szCs w:val="24"/>
        </w:rPr>
      </w:pPr>
    </w:p>
    <w:p w:rsidR="00FD766F" w:rsidRDefault="00FD766F" w:rsidP="00FD766F">
      <w:pPr>
        <w:spacing w:line="360" w:lineRule="auto"/>
        <w:ind w:left="728" w:right="709"/>
        <w:jc w:val="both"/>
        <w:rPr>
          <w:rFonts w:ascii="David" w:hAnsi="David"/>
          <w:b/>
          <w:bCs/>
          <w:u w:val="single"/>
          <w:rtl/>
        </w:rPr>
      </w:pPr>
      <w:r>
        <w:rPr>
          <w:rFonts w:ascii="David" w:hAnsi="David"/>
          <w:rtl/>
        </w:rPr>
        <w:t>"</w:t>
      </w:r>
      <w:r>
        <w:rPr>
          <w:rFonts w:ascii="David" w:hAnsi="David"/>
          <w:b/>
          <w:bCs/>
          <w:u w:val="single"/>
          <w:rtl/>
        </w:rPr>
        <w:t>הצעת בית משפט:</w:t>
      </w:r>
    </w:p>
    <w:p w:rsidR="00FD766F" w:rsidRDefault="00FD766F" w:rsidP="00FD766F">
      <w:pPr>
        <w:pStyle w:val="ad"/>
        <w:spacing w:after="0" w:line="360" w:lineRule="auto"/>
        <w:ind w:right="709"/>
        <w:jc w:val="both"/>
        <w:rPr>
          <w:rFonts w:ascii="David" w:hAnsi="David" w:cs="David"/>
          <w:b/>
          <w:bCs/>
          <w:sz w:val="24"/>
          <w:szCs w:val="24"/>
        </w:rPr>
      </w:pPr>
      <w:r>
        <w:rPr>
          <w:rFonts w:ascii="David" w:hAnsi="David" w:cs="David"/>
          <w:b/>
          <w:bCs/>
          <w:sz w:val="24"/>
          <w:szCs w:val="24"/>
          <w:rtl/>
        </w:rPr>
        <w:t xml:space="preserve">על מנת לסייע לצדדים </w:t>
      </w:r>
      <w:r>
        <w:rPr>
          <w:rFonts w:ascii="David" w:hAnsi="David" w:cs="David"/>
          <w:b/>
          <w:bCs/>
          <w:sz w:val="24"/>
          <w:szCs w:val="24"/>
          <w:u w:val="single"/>
          <w:rtl/>
        </w:rPr>
        <w:t>לסיים את המחלוקת בכללותה</w:t>
      </w:r>
      <w:r>
        <w:rPr>
          <w:rFonts w:ascii="David" w:hAnsi="David" w:cs="David"/>
          <w:b/>
          <w:bCs/>
          <w:sz w:val="24"/>
          <w:szCs w:val="24"/>
          <w:rtl/>
        </w:rPr>
        <w:t xml:space="preserve"> בית המשפט מציע כי מזונות הקטין יעמדו על סך של  2,500 ₪  לחודש במקום פסק הדין שניתן  בהעדר ביום 3/3/10 על ידי  כב' הרשם זיתוני. </w:t>
      </w:r>
    </w:p>
    <w:p w:rsidR="00FD766F" w:rsidRDefault="00FD766F" w:rsidP="00FD766F">
      <w:pPr>
        <w:pStyle w:val="ad"/>
        <w:spacing w:after="0" w:line="360" w:lineRule="auto"/>
        <w:ind w:right="709"/>
        <w:jc w:val="both"/>
        <w:rPr>
          <w:rFonts w:ascii="David" w:hAnsi="David" w:cs="David"/>
          <w:b/>
          <w:bCs/>
          <w:sz w:val="24"/>
          <w:szCs w:val="24"/>
          <w:rtl/>
        </w:rPr>
      </w:pPr>
      <w:r>
        <w:rPr>
          <w:rFonts w:ascii="David" w:hAnsi="David" w:cs="David"/>
          <w:b/>
          <w:bCs/>
          <w:sz w:val="24"/>
          <w:szCs w:val="24"/>
          <w:u w:val="single"/>
          <w:rtl/>
        </w:rPr>
        <w:t>ב"כ הצדדים יבדקו בהוצל"פ מועד הגדלת חוב המזונות לסכום שנפסק בפסק הדין שניתן בהעדר ו/או פסק הדין בערעור של כב' השופטת אספרנצה שקבעה מועד  פברואר 2012 פסק דין מיום  6/4/17, וממועד זה</w:t>
      </w:r>
      <w:r>
        <w:rPr>
          <w:rFonts w:ascii="David" w:hAnsi="David" w:cs="David"/>
          <w:b/>
          <w:bCs/>
          <w:sz w:val="24"/>
          <w:szCs w:val="24"/>
          <w:rtl/>
        </w:rPr>
        <w:t xml:space="preserve"> חישוב  חוב המזונות יערך על פי מזונות  בסך של 2,500 ₪ לחודש, בקיזוז סכומים ששולמו. </w:t>
      </w:r>
    </w:p>
    <w:p w:rsidR="00FD766F" w:rsidRDefault="00FD766F" w:rsidP="00FD766F">
      <w:pPr>
        <w:pStyle w:val="ad"/>
        <w:spacing w:after="0" w:line="360" w:lineRule="auto"/>
        <w:ind w:left="368"/>
        <w:jc w:val="both"/>
        <w:rPr>
          <w:rFonts w:ascii="David" w:hAnsi="David" w:cs="David"/>
          <w:sz w:val="24"/>
          <w:szCs w:val="24"/>
        </w:rPr>
      </w:pPr>
    </w:p>
    <w:p w:rsidR="00FD766F" w:rsidRDefault="00FD766F" w:rsidP="00FD766F">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כב' הרשמת קבעה בהקשר זה כך:</w:t>
      </w:r>
    </w:p>
    <w:p w:rsidR="00FD766F" w:rsidRDefault="00FD766F" w:rsidP="00FD766F">
      <w:pPr>
        <w:spacing w:line="360" w:lineRule="auto"/>
        <w:jc w:val="both"/>
        <w:rPr>
          <w:rFonts w:ascii="David" w:hAnsi="David"/>
        </w:rPr>
      </w:pPr>
    </w:p>
    <w:p w:rsidR="00FD766F" w:rsidRDefault="00FD766F" w:rsidP="00FD766F">
      <w:pPr>
        <w:spacing w:line="360" w:lineRule="auto"/>
        <w:ind w:left="368" w:right="709"/>
        <w:jc w:val="both"/>
        <w:rPr>
          <w:rFonts w:ascii="David" w:hAnsi="David"/>
          <w:b/>
          <w:bCs/>
          <w:u w:val="single"/>
          <w:rtl/>
        </w:rPr>
      </w:pPr>
      <w:r>
        <w:rPr>
          <w:rFonts w:ascii="David" w:hAnsi="David"/>
          <w:rtl/>
        </w:rPr>
        <w:t>"</w:t>
      </w:r>
      <w:r>
        <w:rPr>
          <w:rFonts w:ascii="David" w:hAnsi="David"/>
          <w:b/>
          <w:bCs/>
          <w:rtl/>
        </w:rPr>
        <w:t xml:space="preserve">44. מאחר ומעיון בנתוני התיק עולה, כי מועד הגדלת דמי המזונות בהתאם לאמור בפס"ד השני בוצע רק ביום 16.4.2010 </w:t>
      </w:r>
      <w:r>
        <w:rPr>
          <w:rFonts w:ascii="David" w:hAnsi="David"/>
          <w:b/>
          <w:bCs/>
          <w:u w:val="single"/>
          <w:rtl/>
        </w:rPr>
        <w:t>הרי שהלכה למעשה היה על המומחה לבצע תחשיב ממועד זה בקיזוז הסכומים ששולמו.</w:t>
      </w:r>
    </w:p>
    <w:p w:rsidR="00FD766F" w:rsidRDefault="00FD766F" w:rsidP="00FD766F">
      <w:pPr>
        <w:spacing w:line="360" w:lineRule="auto"/>
        <w:ind w:left="368" w:right="709"/>
        <w:jc w:val="both"/>
        <w:rPr>
          <w:rFonts w:ascii="David" w:hAnsi="David"/>
          <w:b/>
          <w:bCs/>
          <w:rtl/>
        </w:rPr>
      </w:pPr>
      <w:r>
        <w:rPr>
          <w:rFonts w:ascii="David" w:hAnsi="David"/>
          <w:b/>
          <w:bCs/>
          <w:rtl/>
        </w:rPr>
        <w:t>...</w:t>
      </w:r>
    </w:p>
    <w:p w:rsidR="00FD766F" w:rsidRDefault="00FD766F" w:rsidP="00FD766F">
      <w:pPr>
        <w:spacing w:line="360" w:lineRule="auto"/>
        <w:ind w:left="368" w:right="709"/>
        <w:jc w:val="both"/>
        <w:rPr>
          <w:rFonts w:ascii="David" w:hAnsi="David"/>
          <w:rtl/>
        </w:rPr>
      </w:pPr>
      <w:r>
        <w:rPr>
          <w:rFonts w:ascii="David" w:hAnsi="David"/>
          <w:b/>
          <w:bCs/>
          <w:rtl/>
        </w:rPr>
        <w:t>46. משכך אני מורה למומחה לערוך חוות דעת מתוקנת באופן שזו תחול החל ממועד הגדלת חוב המזונות ע"י הזוכה בפועל קרי 16.4.2010, כאשר היתרה שהיתה קיימת בתיק ההוצל"פ עד למועד זה תהא יתרת הפתיחה לצורך עריכת חוות הדעת</w:t>
      </w:r>
      <w:r>
        <w:rPr>
          <w:rFonts w:ascii="David" w:hAnsi="David"/>
          <w:rtl/>
        </w:rPr>
        <w:t xml:space="preserve">". </w:t>
      </w:r>
    </w:p>
    <w:p w:rsidR="00FD766F" w:rsidRDefault="00FD766F" w:rsidP="00FD766F">
      <w:pPr>
        <w:spacing w:line="360" w:lineRule="auto"/>
        <w:ind w:left="368" w:right="709"/>
        <w:jc w:val="both"/>
        <w:rPr>
          <w:rFonts w:ascii="David" w:hAnsi="David"/>
          <w:rtl/>
        </w:rPr>
      </w:pPr>
    </w:p>
    <w:p w:rsidR="00FD766F" w:rsidRDefault="00FD766F" w:rsidP="002A34B4">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ואולם, בהחלטה מאוחרת יותר מיום 3.8.23 ולאחר דיון במעמד הצדדים הורתה כב' הרשמת על שינוי המועד בו יעודכן החיוב בסך של 2,500 ₪ למועד הגשת התביעה (16.7.2009) שכן הובהר כי פסק הדין משנת 2010 עודכן רטרואקטיבית </w:t>
      </w:r>
      <w:r w:rsidR="002A34B4">
        <w:rPr>
          <w:rFonts w:ascii="David" w:hAnsi="David" w:cs="David" w:hint="cs"/>
          <w:sz w:val="24"/>
          <w:szCs w:val="24"/>
          <w:rtl/>
        </w:rPr>
        <w:t xml:space="preserve">החל </w:t>
      </w:r>
      <w:r>
        <w:rPr>
          <w:rFonts w:ascii="David" w:hAnsi="David" w:cs="David"/>
          <w:sz w:val="24"/>
          <w:szCs w:val="24"/>
          <w:rtl/>
        </w:rPr>
        <w:t xml:space="preserve">מהמועד הנ"ל. </w:t>
      </w:r>
    </w:p>
    <w:p w:rsidR="00FD766F" w:rsidRDefault="00FD766F" w:rsidP="00FD766F">
      <w:pPr>
        <w:pStyle w:val="ad"/>
        <w:spacing w:after="0" w:line="360" w:lineRule="auto"/>
        <w:ind w:left="368"/>
        <w:jc w:val="both"/>
        <w:rPr>
          <w:rFonts w:ascii="David" w:hAnsi="David" w:cs="David"/>
          <w:sz w:val="24"/>
          <w:szCs w:val="24"/>
          <w:rtl/>
        </w:rPr>
      </w:pPr>
    </w:p>
    <w:p w:rsidR="00FD766F" w:rsidRDefault="00FD766F" w:rsidP="00FD766F">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lastRenderedPageBreak/>
        <w:t>בהתאם ללשון פסק הדין משנת 2021, המועד בו יעודכן החיוב המוסכם הנו המועד שבו עודכן פסק הדין משנת 2010 "</w:t>
      </w:r>
      <w:r>
        <w:rPr>
          <w:rFonts w:ascii="David" w:hAnsi="David" w:cs="David"/>
          <w:b/>
          <w:bCs/>
          <w:sz w:val="24"/>
          <w:szCs w:val="24"/>
          <w:rtl/>
        </w:rPr>
        <w:t>ו/או</w:t>
      </w:r>
      <w:r>
        <w:rPr>
          <w:rFonts w:ascii="David" w:hAnsi="David" w:cs="David"/>
          <w:sz w:val="24"/>
          <w:szCs w:val="24"/>
          <w:rtl/>
        </w:rPr>
        <w:t>" עדכון פסק הדין בערעור (2/12). על פי לשון פסק הדין המוסכם, הנוקט בלשון "</w:t>
      </w:r>
      <w:r>
        <w:rPr>
          <w:rFonts w:ascii="David" w:hAnsi="David" w:cs="David"/>
          <w:b/>
          <w:bCs/>
          <w:sz w:val="24"/>
          <w:szCs w:val="24"/>
          <w:rtl/>
        </w:rPr>
        <w:t>ו/או</w:t>
      </w:r>
      <w:r>
        <w:rPr>
          <w:rFonts w:ascii="David" w:hAnsi="David" w:cs="David"/>
          <w:sz w:val="24"/>
          <w:szCs w:val="24"/>
          <w:rtl/>
        </w:rPr>
        <w:t xml:space="preserve">", כל אחד מהמועדים הנו אפשרי, או שניהם יחד. בנסיבות אלו יש לבחון את תכלית הטקסט לצורך בחירת הפרשנות המועדפת. </w:t>
      </w:r>
    </w:p>
    <w:p w:rsidR="00FD766F" w:rsidRDefault="00FD766F" w:rsidP="00FD766F">
      <w:pPr>
        <w:pStyle w:val="ad"/>
        <w:spacing w:after="0" w:line="360" w:lineRule="auto"/>
        <w:ind w:left="368"/>
        <w:jc w:val="both"/>
        <w:rPr>
          <w:rFonts w:ascii="David" w:hAnsi="David" w:cs="David"/>
          <w:sz w:val="24"/>
          <w:szCs w:val="24"/>
        </w:rPr>
      </w:pPr>
    </w:p>
    <w:p w:rsidR="00FD766F" w:rsidRPr="004862A3" w:rsidRDefault="00FD766F" w:rsidP="00FD766F">
      <w:pPr>
        <w:pStyle w:val="ad"/>
        <w:numPr>
          <w:ilvl w:val="0"/>
          <w:numId w:val="1"/>
        </w:numPr>
        <w:spacing w:after="0" w:line="360" w:lineRule="auto"/>
        <w:ind w:left="368"/>
        <w:jc w:val="both"/>
        <w:rPr>
          <w:rFonts w:ascii="David" w:hAnsi="David" w:cs="David"/>
          <w:sz w:val="24"/>
          <w:szCs w:val="24"/>
        </w:rPr>
      </w:pPr>
      <w:r w:rsidRPr="004862A3">
        <w:rPr>
          <w:rFonts w:ascii="David" w:hAnsi="David" w:cs="David"/>
          <w:sz w:val="24"/>
          <w:szCs w:val="24"/>
          <w:rtl/>
        </w:rPr>
        <w:t xml:space="preserve">בפסק הדין בערעור קיבל למעשה ביהמ"ש המחוזי את טענות האיש לפגמים שנפלו בהמצאה וכפועל יוצא מכך הותיר את המזונות שנקבעו בפסק הדין שניתן בשנת 2006 (בסך של 1,950 ₪) על כנם עד לחודש 1/2012 (כולל). עוד נקבע כי </w:t>
      </w:r>
      <w:r w:rsidR="002A34B4">
        <w:rPr>
          <w:rFonts w:ascii="David" w:hAnsi="David" w:cs="David" w:hint="cs"/>
          <w:sz w:val="24"/>
          <w:szCs w:val="24"/>
          <w:rtl/>
        </w:rPr>
        <w:t xml:space="preserve">החל </w:t>
      </w:r>
      <w:r w:rsidRPr="004862A3">
        <w:rPr>
          <w:rFonts w:ascii="David" w:hAnsi="David" w:cs="David"/>
          <w:sz w:val="24"/>
          <w:szCs w:val="24"/>
          <w:rtl/>
        </w:rPr>
        <w:t>מחודש 2/2012 הסכום שנקבע בפסק הדין משנת 2021 יהפוך ל"מזונות זמניים" עד להכרעה בטענות האיש בעניין גובה החיוב.</w:t>
      </w:r>
    </w:p>
    <w:p w:rsidR="00FD766F" w:rsidRDefault="00FD766F" w:rsidP="00FD766F">
      <w:pPr>
        <w:pStyle w:val="ad"/>
        <w:rPr>
          <w:rFonts w:ascii="David" w:hAnsi="David" w:cs="David"/>
          <w:sz w:val="24"/>
          <w:szCs w:val="24"/>
        </w:rPr>
      </w:pPr>
    </w:p>
    <w:p w:rsidR="00FD766F" w:rsidRDefault="00FD766F" w:rsidP="00FD766F">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סבורני כי הן לשון פסק הדין משנת 2021 והן תכליתו תומכים בפרשנות לפיה החיוב שנקבע בפסק הדין משנת 2010 (בסך של 5,271 ₪) וכך גם הפחתת החיוב שנקבעה בפסק הדין בערעור (לסך של 1,950 ₪ לתקופה שעד 1/2012) – </w:t>
      </w:r>
      <w:r>
        <w:rPr>
          <w:rFonts w:ascii="David" w:hAnsi="David" w:cs="David"/>
          <w:b/>
          <w:bCs/>
          <w:sz w:val="24"/>
          <w:szCs w:val="24"/>
          <w:rtl/>
        </w:rPr>
        <w:t>יבוטלו שניהם</w:t>
      </w:r>
      <w:r>
        <w:rPr>
          <w:rFonts w:ascii="David" w:hAnsi="David" w:cs="David"/>
          <w:sz w:val="24"/>
          <w:szCs w:val="24"/>
          <w:rtl/>
        </w:rPr>
        <w:t xml:space="preserve">, ותחת אלו יבוא החיוב המוסכם לפי פסק הדין משנת 2021, וזאת החל מהמועד בו עודכן פסק הדין משנת 2010 בתיק ההוצל"פ (מועד הגשת התביעה- 7/2009). </w:t>
      </w:r>
    </w:p>
    <w:p w:rsidR="00FD766F" w:rsidRDefault="00FD766F" w:rsidP="00FD766F">
      <w:pPr>
        <w:pStyle w:val="ad"/>
        <w:spacing w:after="0" w:line="360" w:lineRule="auto"/>
        <w:ind w:left="368"/>
        <w:jc w:val="both"/>
        <w:rPr>
          <w:rFonts w:ascii="David" w:hAnsi="David" w:cs="David"/>
          <w:sz w:val="24"/>
          <w:szCs w:val="24"/>
        </w:rPr>
      </w:pPr>
    </w:p>
    <w:p w:rsidR="00FD766F" w:rsidRDefault="00FD766F" w:rsidP="00FD766F">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לו רצו הצדדים לקבוע כי החיוב המוסכם בסך של 2,500 ₪ יחל רק החל מחודש 2/2012 ועד אז יחול החיוב המקורי לפי פסק הדין משנת 2006, יכלו לציין זאת במפורש. אזכור שני פסקי הדין (מ- 2010 ופסק הדין בערעור) לעניין מועד תחילת העדכון, תומך בפרשנות לפיה יש מקום לבטל את שניהם ותחתם לעדכן את החיוב המוסכם, החל מהמועד הראשון בו עודכן מי מפסקי הדין בתיק ההוצל"פ. </w:t>
      </w:r>
    </w:p>
    <w:p w:rsidR="00FD766F" w:rsidRDefault="00FD766F" w:rsidP="00FD766F">
      <w:pPr>
        <w:pStyle w:val="ad"/>
        <w:rPr>
          <w:rFonts w:ascii="David" w:hAnsi="David" w:cs="David"/>
          <w:sz w:val="24"/>
          <w:szCs w:val="24"/>
        </w:rPr>
      </w:pPr>
    </w:p>
    <w:p w:rsidR="00FD766F" w:rsidRDefault="00FD766F" w:rsidP="00FD766F">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שוכנעתי, כי הצדדים בחרו במתווה של פשרה, לפיו גובה החיוב שנקבע בשנת 2010 יופחת, אולם תקופת החיוב תוארך (ביחס למה שנקבע בפסק הדין בערעור). ודוק, הטענה כי הצדדים לא יכלו להסכים למתווה המנוגד לקביעת ביהמ"ש המחוזי או כי ביהמ"ש לא יכול היה להציע להם מתווה שכזה, אין לה על מה שתסמוך. במסגרת מתווה של פשרה יכולים הצדדים להסכים על כל מתווה שימצאו לנכון ואשר אינו סותר את הדין. הפחתת החיוב (לעתיד) והארכת התקופה (מעבר לזו שנקבעה בפסק הדין בערעור) הם דרך סבירה להשגת פשרה ואין בה משום חריגה מסמכות.</w:t>
      </w:r>
    </w:p>
    <w:p w:rsidR="00FD766F" w:rsidRDefault="00FD766F" w:rsidP="00FD766F">
      <w:pPr>
        <w:pStyle w:val="ad"/>
        <w:rPr>
          <w:rFonts w:ascii="David" w:hAnsi="David" w:cs="David"/>
          <w:sz w:val="24"/>
          <w:szCs w:val="24"/>
        </w:rPr>
      </w:pPr>
    </w:p>
    <w:p w:rsidR="00FD766F" w:rsidRDefault="00FD766F" w:rsidP="00FD766F">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מסקנתי זו מקבלת חיזוק של ממש מהחלטת המותב הקודם באותו הליך (תלה"מ 8999-10-20), בבקשה שהגישה האישה </w:t>
      </w:r>
      <w:r>
        <w:rPr>
          <w:rFonts w:ascii="David" w:hAnsi="David" w:cs="David"/>
          <w:b/>
          <w:bCs/>
          <w:sz w:val="24"/>
          <w:szCs w:val="24"/>
          <w:rtl/>
        </w:rPr>
        <w:t>לאחר</w:t>
      </w:r>
      <w:r>
        <w:rPr>
          <w:rFonts w:ascii="David" w:hAnsi="David" w:cs="David"/>
          <w:sz w:val="24"/>
          <w:szCs w:val="24"/>
          <w:rtl/>
        </w:rPr>
        <w:t xml:space="preserve"> מתן פסק הדין המוסכם, בה עתרה לתיקון טעות בפרוטוקול, בציינה כך:</w:t>
      </w:r>
    </w:p>
    <w:p w:rsidR="00FD766F" w:rsidRDefault="00FD766F" w:rsidP="00FD766F">
      <w:pPr>
        <w:pStyle w:val="ad"/>
        <w:rPr>
          <w:rFonts w:ascii="David" w:hAnsi="David" w:cs="David"/>
          <w:sz w:val="24"/>
          <w:szCs w:val="24"/>
        </w:rPr>
      </w:pPr>
    </w:p>
    <w:p w:rsidR="00FD766F" w:rsidRDefault="00FD766F" w:rsidP="00FD766F">
      <w:pPr>
        <w:spacing w:line="360" w:lineRule="auto"/>
        <w:ind w:left="509"/>
        <w:jc w:val="both"/>
        <w:rPr>
          <w:rFonts w:ascii="David" w:hAnsi="David"/>
          <w:highlight w:val="darkGray"/>
          <w:rtl/>
        </w:rPr>
      </w:pPr>
      <w:r>
        <w:rPr>
          <w:rFonts w:ascii="David" w:hAnsi="David"/>
        </w:rPr>
        <w:lastRenderedPageBreak/>
        <w:drawing>
          <wp:inline distT="0" distB="0" distL="0" distR="0">
            <wp:extent cx="4946015" cy="3084830"/>
            <wp:effectExtent l="0" t="0" r="6985" b="127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46015" cy="3084830"/>
                    </a:xfrm>
                    <a:prstGeom prst="rect">
                      <a:avLst/>
                    </a:prstGeom>
                    <a:noFill/>
                    <a:ln>
                      <a:noFill/>
                    </a:ln>
                  </pic:spPr>
                </pic:pic>
              </a:graphicData>
            </a:graphic>
          </wp:inline>
        </w:drawing>
      </w:r>
      <w:r>
        <w:rPr>
          <w:rFonts w:ascii="David" w:hAnsi="David"/>
          <w:highlight w:val="darkGray"/>
          <w:rtl/>
        </w:rPr>
        <w:t xml:space="preserve"> </w:t>
      </w:r>
    </w:p>
    <w:p w:rsidR="00FD766F" w:rsidRDefault="00FD766F" w:rsidP="00FD766F">
      <w:pPr>
        <w:spacing w:line="360" w:lineRule="auto"/>
        <w:ind w:left="509"/>
        <w:jc w:val="both"/>
        <w:rPr>
          <w:rFonts w:ascii="David" w:hAnsi="David"/>
          <w:highlight w:val="darkGray"/>
          <w:rtl/>
        </w:rPr>
      </w:pPr>
    </w:p>
    <w:p w:rsidR="00FD766F" w:rsidRDefault="00FD766F" w:rsidP="00FD766F">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האיש מצדו התנגד למבוקש ונראה כי הצדדים טענו אז טענות הפוכות מאלו אותן הם טוענים היום:</w:t>
      </w:r>
    </w:p>
    <w:p w:rsidR="00FD766F" w:rsidRDefault="00FD766F" w:rsidP="00FD766F">
      <w:pPr>
        <w:spacing w:line="360" w:lineRule="auto"/>
        <w:jc w:val="both"/>
        <w:rPr>
          <w:rFonts w:ascii="David" w:hAnsi="David"/>
          <w:rtl/>
        </w:rPr>
      </w:pPr>
      <w:r>
        <w:rPr>
          <w:rFonts w:ascii="David" w:hAnsi="David"/>
        </w:rPr>
        <w:drawing>
          <wp:inline distT="0" distB="0" distL="0" distR="0">
            <wp:extent cx="4937760" cy="1677670"/>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37760" cy="1677670"/>
                    </a:xfrm>
                    <a:prstGeom prst="rect">
                      <a:avLst/>
                    </a:prstGeom>
                    <a:noFill/>
                    <a:ln>
                      <a:noFill/>
                    </a:ln>
                  </pic:spPr>
                </pic:pic>
              </a:graphicData>
            </a:graphic>
          </wp:inline>
        </w:drawing>
      </w:r>
    </w:p>
    <w:p w:rsidR="00FD766F" w:rsidRDefault="00FD766F" w:rsidP="00FD766F">
      <w:pPr>
        <w:spacing w:line="360" w:lineRule="auto"/>
        <w:ind w:left="368"/>
        <w:jc w:val="both"/>
        <w:rPr>
          <w:rFonts w:ascii="David" w:hAnsi="David"/>
          <w:rtl/>
        </w:rPr>
      </w:pPr>
      <w:r>
        <w:rPr>
          <w:rFonts w:ascii="David" w:hAnsi="David"/>
          <w:rtl/>
        </w:rPr>
        <w:t xml:space="preserve">מתגובת האיש ניתן ללמוד על הסכמתו המשתמעת לכך שסכום החיוב המוסכם יחול החל ממועד עדכון פסק הדין משנת 2010 בלשכת ההוצל"פ. </w:t>
      </w:r>
    </w:p>
    <w:p w:rsidR="00FD766F" w:rsidRDefault="00FD766F" w:rsidP="00FD766F">
      <w:pPr>
        <w:spacing w:line="360" w:lineRule="auto"/>
        <w:jc w:val="both"/>
        <w:rPr>
          <w:rFonts w:ascii="David" w:hAnsi="David"/>
          <w:rtl/>
        </w:rPr>
      </w:pPr>
    </w:p>
    <w:p w:rsidR="00FD766F" w:rsidRDefault="00FD766F" w:rsidP="00FD766F">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בהחלטתו קבע המותב באופן מפורש, כי אין בהחלטת ביהמ"ש המחוזי משום רלוונטיות למועד שנקבע בפסק הדין המוסכם משנת 2021, שכן המועד שנקבע הנו פרי הסכמת הצדדים העשויה כמקשה אחת:</w:t>
      </w:r>
    </w:p>
    <w:p w:rsidR="00FD766F" w:rsidRDefault="00FD766F" w:rsidP="00FD766F">
      <w:pPr>
        <w:spacing w:line="360" w:lineRule="auto"/>
        <w:jc w:val="both"/>
        <w:rPr>
          <w:rFonts w:ascii="David" w:hAnsi="David"/>
        </w:rPr>
      </w:pPr>
    </w:p>
    <w:p w:rsidR="00FD766F" w:rsidRDefault="00FD766F" w:rsidP="00FD766F">
      <w:pPr>
        <w:spacing w:line="360" w:lineRule="auto"/>
        <w:ind w:left="368"/>
        <w:jc w:val="both"/>
        <w:rPr>
          <w:rFonts w:ascii="David" w:hAnsi="David"/>
          <w:rtl/>
        </w:rPr>
      </w:pPr>
      <w:r>
        <w:rPr>
          <w:rFonts w:ascii="David" w:hAnsi="David"/>
        </w:rPr>
        <w:lastRenderedPageBreak/>
        <w:drawing>
          <wp:inline distT="0" distB="0" distL="0" distR="0">
            <wp:extent cx="4206240" cy="2131060"/>
            <wp:effectExtent l="0" t="0" r="3810" b="254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06240" cy="2131060"/>
                    </a:xfrm>
                    <a:prstGeom prst="rect">
                      <a:avLst/>
                    </a:prstGeom>
                    <a:noFill/>
                    <a:ln>
                      <a:noFill/>
                    </a:ln>
                  </pic:spPr>
                </pic:pic>
              </a:graphicData>
            </a:graphic>
          </wp:inline>
        </w:drawing>
      </w:r>
    </w:p>
    <w:p w:rsidR="00FD766F" w:rsidRDefault="00FD766F" w:rsidP="00FD766F">
      <w:pPr>
        <w:pStyle w:val="ad"/>
        <w:rPr>
          <w:rFonts w:ascii="David" w:hAnsi="David" w:cs="David"/>
          <w:sz w:val="24"/>
          <w:szCs w:val="24"/>
          <w:highlight w:val="darkGray"/>
          <w:rtl/>
        </w:rPr>
      </w:pPr>
    </w:p>
    <w:p w:rsidR="00FD766F" w:rsidRDefault="00FD766F" w:rsidP="002A34B4">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על רקע האמור לעיל</w:t>
      </w:r>
      <w:r w:rsidR="002A34B4">
        <w:rPr>
          <w:rFonts w:ascii="David" w:hAnsi="David" w:cs="David" w:hint="cs"/>
          <w:sz w:val="24"/>
          <w:szCs w:val="24"/>
          <w:rtl/>
        </w:rPr>
        <w:t xml:space="preserve">, היינו, לשון ההסכמות ותכליתן, ולרבות </w:t>
      </w:r>
      <w:r>
        <w:rPr>
          <w:rFonts w:ascii="David" w:hAnsi="David" w:cs="David"/>
          <w:sz w:val="24"/>
          <w:szCs w:val="24"/>
          <w:rtl/>
        </w:rPr>
        <w:t xml:space="preserve">בנסיבות בהן ביהמ"ש כבר נדרש לסוגיה שבמחלוקת והכריע בה ולא הוגש ערעור על ההחלטה, לא ניתן לדון כעת מחדש בעניין ועל כן אני דוחה את טענת האיש כי החיוב המוסכם בסך של 2,500 ₪ צריך לחול רק מחודש 2/2012 ואני מורה כי הוא יחול, כפי החלטת כב' הרשמת, מהמועד בו עודכן לראשונה פסק הדין משנת 2010 – 16.7.2009. </w:t>
      </w:r>
    </w:p>
    <w:p w:rsidR="00FD766F" w:rsidRDefault="00FD766F" w:rsidP="00FD766F">
      <w:pPr>
        <w:pStyle w:val="ad"/>
        <w:rPr>
          <w:rFonts w:ascii="David" w:hAnsi="David" w:cs="David"/>
          <w:sz w:val="24"/>
          <w:szCs w:val="24"/>
        </w:rPr>
      </w:pPr>
    </w:p>
    <w:p w:rsidR="00FD766F" w:rsidRDefault="00FD766F" w:rsidP="00FD766F">
      <w:pPr>
        <w:spacing w:line="360" w:lineRule="auto"/>
        <w:jc w:val="both"/>
        <w:rPr>
          <w:rFonts w:ascii="David" w:hAnsi="David"/>
          <w:b/>
          <w:bCs/>
          <w:u w:val="single"/>
          <w:rtl/>
        </w:rPr>
      </w:pPr>
      <w:r>
        <w:rPr>
          <w:rFonts w:ascii="David" w:hAnsi="David"/>
          <w:b/>
          <w:bCs/>
          <w:u w:val="single"/>
          <w:rtl/>
        </w:rPr>
        <w:t>הסוגיה השלישית</w:t>
      </w:r>
    </w:p>
    <w:p w:rsidR="00FD766F" w:rsidRDefault="00FD766F" w:rsidP="00FD766F">
      <w:pPr>
        <w:spacing w:line="360" w:lineRule="auto"/>
        <w:jc w:val="both"/>
        <w:rPr>
          <w:rFonts w:ascii="David" w:hAnsi="David"/>
          <w:rtl/>
        </w:rPr>
      </w:pPr>
    </w:p>
    <w:p w:rsidR="00FD766F" w:rsidRDefault="00FD766F" w:rsidP="002A34B4">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הצדדים ח</w:t>
      </w:r>
      <w:r w:rsidR="00167B27">
        <w:rPr>
          <w:rFonts w:ascii="David" w:hAnsi="David" w:cs="David"/>
          <w:sz w:val="24"/>
          <w:szCs w:val="24"/>
          <w:rtl/>
        </w:rPr>
        <w:t xml:space="preserve">לוקים כאמור </w:t>
      </w:r>
      <w:r w:rsidR="002A34B4">
        <w:rPr>
          <w:rFonts w:ascii="David" w:hAnsi="David" w:cs="David" w:hint="cs"/>
          <w:sz w:val="24"/>
          <w:szCs w:val="24"/>
          <w:rtl/>
        </w:rPr>
        <w:t xml:space="preserve">גם </w:t>
      </w:r>
      <w:r w:rsidR="00167B27">
        <w:rPr>
          <w:rFonts w:ascii="David" w:hAnsi="David" w:cs="David"/>
          <w:sz w:val="24"/>
          <w:szCs w:val="24"/>
          <w:rtl/>
        </w:rPr>
        <w:t>בשאלה, האם את הסכום</w:t>
      </w:r>
      <w:r>
        <w:rPr>
          <w:rFonts w:ascii="David" w:hAnsi="David" w:cs="David"/>
          <w:sz w:val="24"/>
          <w:szCs w:val="24"/>
          <w:rtl/>
        </w:rPr>
        <w:t xml:space="preserve"> המוסכם שנקבע בפסק הדין משנת 2021 יש להצמיד למדד, או שמא מדובר בסכום נומינאלי. </w:t>
      </w:r>
    </w:p>
    <w:p w:rsidR="00FD766F" w:rsidRDefault="00FD766F" w:rsidP="00FD766F">
      <w:pPr>
        <w:spacing w:line="360" w:lineRule="auto"/>
        <w:ind w:right="284"/>
        <w:jc w:val="both"/>
        <w:rPr>
          <w:rFonts w:ascii="David" w:hAnsi="David"/>
        </w:rPr>
      </w:pPr>
    </w:p>
    <w:p w:rsidR="00FD766F" w:rsidRDefault="00FD766F" w:rsidP="00FD766F">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כב' הרשמת קבעה בהקשר זה כי פסק הדין משנת 2010 לא בוטל ועל כן יש להחיל את ההצמדה למדד שנקבעה במסגרתו, גם על החיוב המופחת המוסכם לפי פסק הדין משנת 2021. </w:t>
      </w:r>
    </w:p>
    <w:p w:rsidR="00FD766F" w:rsidRDefault="00FD766F" w:rsidP="00FD766F">
      <w:pPr>
        <w:spacing w:line="360" w:lineRule="auto"/>
        <w:ind w:right="284"/>
        <w:jc w:val="both"/>
        <w:rPr>
          <w:rFonts w:ascii="David" w:hAnsi="David"/>
          <w:rtl/>
        </w:rPr>
      </w:pPr>
    </w:p>
    <w:p w:rsidR="00FD766F" w:rsidRDefault="00FD766F" w:rsidP="00FD766F">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נפנה ללשון רישת פסק הדין מוסכם:</w:t>
      </w:r>
    </w:p>
    <w:p w:rsidR="00FD766F" w:rsidRDefault="00FD766F" w:rsidP="00FD766F">
      <w:pPr>
        <w:spacing w:line="360" w:lineRule="auto"/>
        <w:ind w:right="284"/>
        <w:jc w:val="both"/>
        <w:rPr>
          <w:rFonts w:ascii="David" w:hAnsi="David"/>
          <w:rtl/>
        </w:rPr>
      </w:pPr>
    </w:p>
    <w:p w:rsidR="00FD766F" w:rsidRDefault="00FD766F" w:rsidP="00FD766F">
      <w:pPr>
        <w:pStyle w:val="ad"/>
        <w:spacing w:after="0" w:line="360" w:lineRule="auto"/>
        <w:ind w:right="709"/>
        <w:jc w:val="both"/>
        <w:rPr>
          <w:rFonts w:ascii="David" w:hAnsi="David" w:cs="David"/>
          <w:sz w:val="24"/>
          <w:szCs w:val="24"/>
          <w:rtl/>
        </w:rPr>
      </w:pPr>
      <w:r>
        <w:rPr>
          <w:rFonts w:ascii="David" w:hAnsi="David" w:cs="David"/>
          <w:sz w:val="24"/>
          <w:szCs w:val="24"/>
          <w:rtl/>
        </w:rPr>
        <w:t>"</w:t>
      </w:r>
      <w:r>
        <w:rPr>
          <w:rFonts w:ascii="David" w:hAnsi="David" w:cs="David"/>
          <w:b/>
          <w:bCs/>
          <w:sz w:val="24"/>
          <w:szCs w:val="24"/>
          <w:rtl/>
        </w:rPr>
        <w:t xml:space="preserve">על מנת לסייע לצדדים לסיים את המחלוקת בכללותה בית המשפט מציע כי </w:t>
      </w:r>
      <w:r>
        <w:rPr>
          <w:rFonts w:ascii="David" w:hAnsi="David" w:cs="David"/>
          <w:b/>
          <w:bCs/>
          <w:sz w:val="24"/>
          <w:szCs w:val="24"/>
          <w:u w:val="single"/>
          <w:rtl/>
        </w:rPr>
        <w:t>מזונות הקטין</w:t>
      </w:r>
      <w:r>
        <w:rPr>
          <w:rFonts w:ascii="David" w:hAnsi="David" w:cs="David"/>
          <w:b/>
          <w:bCs/>
          <w:sz w:val="24"/>
          <w:szCs w:val="24"/>
          <w:rtl/>
        </w:rPr>
        <w:t xml:space="preserve"> יעמדו על סך של  2,500 ₪  לחודש </w:t>
      </w:r>
      <w:r>
        <w:rPr>
          <w:rFonts w:ascii="David" w:hAnsi="David" w:cs="David"/>
          <w:b/>
          <w:bCs/>
          <w:sz w:val="24"/>
          <w:szCs w:val="24"/>
          <w:u w:val="single"/>
          <w:rtl/>
        </w:rPr>
        <w:t>במקום</w:t>
      </w:r>
      <w:r>
        <w:rPr>
          <w:rFonts w:ascii="David" w:hAnsi="David" w:cs="David"/>
          <w:b/>
          <w:bCs/>
          <w:sz w:val="24"/>
          <w:szCs w:val="24"/>
          <w:rtl/>
        </w:rPr>
        <w:t xml:space="preserve"> פסק הדין שניתן  בהעדר ביום 3/3/10 על ידי  כב' הרשם זיתוני</w:t>
      </w:r>
      <w:r>
        <w:rPr>
          <w:rFonts w:ascii="David" w:hAnsi="David" w:cs="David"/>
          <w:sz w:val="24"/>
          <w:szCs w:val="24"/>
          <w:rtl/>
        </w:rPr>
        <w:t>"</w:t>
      </w:r>
    </w:p>
    <w:p w:rsidR="00FD766F" w:rsidRDefault="00FD766F" w:rsidP="00FD766F">
      <w:pPr>
        <w:spacing w:line="360" w:lineRule="auto"/>
        <w:ind w:right="709"/>
        <w:jc w:val="both"/>
        <w:rPr>
          <w:rFonts w:ascii="David" w:hAnsi="David"/>
          <w:rtl/>
        </w:rPr>
      </w:pPr>
    </w:p>
    <w:p w:rsidR="00FD766F" w:rsidRDefault="00FD766F" w:rsidP="00FD766F">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אמנם לשון פסק הדין לא מציינת מפורשות כי הסכום שנקבע יוצמד למדד או כי יתר הוראות פסק הדין משנת 2010 יוותרו על כנן. עם זאת, ניסוח ההסכמות באופן שנקבע כי סכום המזונות (בלבד) שנקבע בפסק הדין משנת 2010 יוחלף לסכום מופחת, ומבלי להידרש ליתר הוראות פסק </w:t>
      </w:r>
      <w:r>
        <w:rPr>
          <w:rFonts w:ascii="David" w:hAnsi="David" w:cs="David"/>
          <w:sz w:val="24"/>
          <w:szCs w:val="24"/>
          <w:rtl/>
        </w:rPr>
        <w:lastRenderedPageBreak/>
        <w:t xml:space="preserve">הדין משנת 2010, מתיישב </w:t>
      </w:r>
      <w:r w:rsidR="002A34B4">
        <w:rPr>
          <w:rFonts w:ascii="David" w:hAnsi="David" w:cs="David" w:hint="cs"/>
          <w:sz w:val="24"/>
          <w:szCs w:val="24"/>
          <w:rtl/>
        </w:rPr>
        <w:t xml:space="preserve">גם </w:t>
      </w:r>
      <w:r>
        <w:rPr>
          <w:rFonts w:ascii="David" w:hAnsi="David" w:cs="David"/>
          <w:sz w:val="24"/>
          <w:szCs w:val="24"/>
          <w:rtl/>
        </w:rPr>
        <w:t xml:space="preserve">עם הפרשנות לפיה הצדדים לא התכוונו לבטל את יתר הוראות פסק הדין, אלא אך </w:t>
      </w:r>
      <w:r w:rsidR="002A34B4">
        <w:rPr>
          <w:rFonts w:ascii="David" w:hAnsi="David" w:cs="David" w:hint="cs"/>
          <w:sz w:val="24"/>
          <w:szCs w:val="24"/>
          <w:rtl/>
        </w:rPr>
        <w:t xml:space="preserve">להפחית </w:t>
      </w:r>
      <w:r>
        <w:rPr>
          <w:rFonts w:ascii="David" w:hAnsi="David" w:cs="David"/>
          <w:sz w:val="24"/>
          <w:szCs w:val="24"/>
          <w:rtl/>
        </w:rPr>
        <w:t xml:space="preserve">את גובה החיוב השוטף.  </w:t>
      </w:r>
    </w:p>
    <w:p w:rsidR="00FD766F" w:rsidRDefault="00FD766F" w:rsidP="00FD766F">
      <w:pPr>
        <w:pStyle w:val="ad"/>
        <w:spacing w:after="0" w:line="360" w:lineRule="auto"/>
        <w:ind w:left="368"/>
        <w:jc w:val="both"/>
        <w:rPr>
          <w:rFonts w:ascii="David" w:hAnsi="David" w:cs="David"/>
          <w:sz w:val="24"/>
          <w:szCs w:val="24"/>
        </w:rPr>
      </w:pPr>
    </w:p>
    <w:p w:rsidR="00FD766F" w:rsidRDefault="00FD766F" w:rsidP="00FD766F">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מבחינת התכלית, יש לזכור כי פסק הדין משנת 2006 קבע חיוב בסך של 1,950 ₪ בתוספת הצמדה למדד, כשמדד הבסיס הוא מדד מרץ 2006. משמעות הדברים היא כי במועד מתן פסק הדין משנת 2021, עמד גובה החיוב שנפסק בשנת 2006 ע"ס של כ- </w:t>
      </w:r>
      <w:r>
        <w:rPr>
          <w:rFonts w:ascii="David" w:hAnsi="David" w:cs="David"/>
          <w:b/>
          <w:bCs/>
          <w:sz w:val="24"/>
          <w:szCs w:val="24"/>
          <w:rtl/>
        </w:rPr>
        <w:t xml:space="preserve">2,377 ₪ </w:t>
      </w:r>
      <w:r>
        <w:rPr>
          <w:rFonts w:ascii="David" w:hAnsi="David" w:cs="David"/>
          <w:sz w:val="24"/>
          <w:szCs w:val="24"/>
          <w:rtl/>
        </w:rPr>
        <w:t xml:space="preserve">(ראו: </w:t>
      </w:r>
      <w:hyperlink r:id="rId15" w:history="1">
        <w:r>
          <w:rPr>
            <w:rStyle w:val="Hyperlink"/>
            <w:rtl/>
          </w:rPr>
          <w:t>עברית - מחשבון הצמדה למדדי</w:t>
        </w:r>
        <w:r>
          <w:rPr>
            <w:rStyle w:val="Hyperlink"/>
          </w:rPr>
          <w:t xml:space="preserve"> (cbs.gov.il)</w:t>
        </w:r>
      </w:hyperlink>
      <w:r>
        <w:rPr>
          <w:rtl/>
        </w:rPr>
        <w:t xml:space="preserve">). </w:t>
      </w:r>
      <w:r>
        <w:rPr>
          <w:rFonts w:ascii="David" w:hAnsi="David" w:cs="David"/>
          <w:sz w:val="24"/>
          <w:szCs w:val="24"/>
          <w:rtl/>
        </w:rPr>
        <w:t xml:space="preserve">המדובר בסכום </w:t>
      </w:r>
      <w:r>
        <w:rPr>
          <w:rFonts w:ascii="David" w:hAnsi="David" w:cs="David"/>
          <w:sz w:val="24"/>
          <w:szCs w:val="24"/>
          <w:u w:val="single"/>
          <w:rtl/>
        </w:rPr>
        <w:t>כמעט זהה</w:t>
      </w:r>
      <w:r>
        <w:rPr>
          <w:rFonts w:ascii="David" w:hAnsi="David" w:cs="David"/>
          <w:sz w:val="24"/>
          <w:szCs w:val="24"/>
          <w:rtl/>
        </w:rPr>
        <w:t xml:space="preserve"> לסכום המוסכם שנקבע בפסק הדין משנת 2021. היינו, אין המדובר בפשרה, אלא בקבלת טענות האיש כמעט במלואן וקביעת סכום כמעט זהה לזה שנפסק בשנת 2006. הדבר אינו מתיישב עם הרציונל שבבסיס הפשרה ועם גדר המחלוקת וטיעוני הצדדים כפי שעלו בפרוטוקול הדיון מיום 28.4.21.  </w:t>
      </w:r>
    </w:p>
    <w:p w:rsidR="00FD766F" w:rsidRDefault="00FD766F" w:rsidP="00FD766F">
      <w:pPr>
        <w:pStyle w:val="ad"/>
        <w:rPr>
          <w:rFonts w:ascii="David" w:hAnsi="David" w:cs="David"/>
          <w:sz w:val="24"/>
          <w:szCs w:val="24"/>
        </w:rPr>
      </w:pPr>
    </w:p>
    <w:p w:rsidR="00FD766F" w:rsidRDefault="00FD766F" w:rsidP="00FD766F">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הגיונם של הדברים מוביל למסקנה כי הצדדים ביקשו לקבוע כי הסכום שנפסק בפסק הדין משנת 2010 בסך של 5,271 ₪ בתוספת הצמדה למדד, יופחת לכמחצית, מבלי לפגוע בהצמדתו למדד. כאמור, ללא הצמדה למדד, אין כל הגיון בסכום שנקבע לצרכי פשרה. </w:t>
      </w:r>
    </w:p>
    <w:p w:rsidR="00FD766F" w:rsidRDefault="00FD766F" w:rsidP="00FD766F">
      <w:pPr>
        <w:pStyle w:val="ad"/>
        <w:rPr>
          <w:rFonts w:ascii="David" w:hAnsi="David" w:cs="David"/>
          <w:sz w:val="24"/>
          <w:szCs w:val="24"/>
        </w:rPr>
      </w:pPr>
    </w:p>
    <w:p w:rsidR="00FD766F" w:rsidRDefault="00FD766F" w:rsidP="00932500">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מעבר לכך, הצמדת סכום המזונות למדד נועדה לשמור על ערכו של החיוב, בהתאם לשינוי המדד (יפים לעניין זה הדברים שנאמרו זה לא מכבר על ידי בית הדין הרבני הגדול בירושלים בפסק דינו מיום 14.3.24</w:t>
      </w:r>
      <w:r w:rsidR="002A34B4">
        <w:rPr>
          <w:rFonts w:ascii="David" w:hAnsi="David" w:cs="David" w:hint="cs"/>
          <w:sz w:val="24"/>
          <w:szCs w:val="24"/>
          <w:rtl/>
        </w:rPr>
        <w:t>,</w:t>
      </w:r>
      <w:r>
        <w:rPr>
          <w:rFonts w:ascii="David" w:hAnsi="David" w:cs="David"/>
          <w:sz w:val="24"/>
          <w:szCs w:val="24"/>
          <w:rtl/>
        </w:rPr>
        <w:t xml:space="preserve"> 1465673/ </w:t>
      </w:r>
      <w:r>
        <w:rPr>
          <w:rFonts w:ascii="David" w:hAnsi="David" w:cs="David"/>
          <w:b/>
          <w:bCs/>
          <w:sz w:val="24"/>
          <w:szCs w:val="24"/>
          <w:rtl/>
        </w:rPr>
        <w:t>פלונית נ' פלוני</w:t>
      </w:r>
      <w:r>
        <w:rPr>
          <w:rFonts w:ascii="David" w:hAnsi="David" w:cs="David"/>
          <w:sz w:val="24"/>
          <w:szCs w:val="24"/>
          <w:rtl/>
        </w:rPr>
        <w:t>). אציין בהקשר זה עוד</w:t>
      </w:r>
      <w:r w:rsidR="002A34B4">
        <w:rPr>
          <w:rFonts w:ascii="David" w:hAnsi="David" w:cs="David" w:hint="cs"/>
          <w:sz w:val="24"/>
          <w:szCs w:val="24"/>
          <w:rtl/>
        </w:rPr>
        <w:t>,</w:t>
      </w:r>
      <w:r>
        <w:rPr>
          <w:rFonts w:ascii="David" w:hAnsi="David" w:cs="David"/>
          <w:sz w:val="24"/>
          <w:szCs w:val="24"/>
          <w:rtl/>
        </w:rPr>
        <w:t xml:space="preserve"> כי הבן הגיע לגיל 18 ביום </w:t>
      </w:r>
      <w:r w:rsidR="00932500">
        <w:rPr>
          <w:rFonts w:ascii="David" w:hAnsi="David" w:cs="David" w:hint="cs"/>
          <w:sz w:val="24"/>
          <w:szCs w:val="24"/>
          <w:rtl/>
        </w:rPr>
        <w:t>00</w:t>
      </w:r>
      <w:r>
        <w:rPr>
          <w:rFonts w:ascii="David" w:hAnsi="David" w:cs="David"/>
          <w:sz w:val="24"/>
          <w:szCs w:val="24"/>
          <w:rtl/>
        </w:rPr>
        <w:t>.</w:t>
      </w:r>
      <w:r w:rsidR="00932500">
        <w:rPr>
          <w:rFonts w:ascii="David" w:hAnsi="David" w:cs="David" w:hint="cs"/>
          <w:sz w:val="24"/>
          <w:szCs w:val="24"/>
          <w:rtl/>
        </w:rPr>
        <w:t>00</w:t>
      </w:r>
      <w:r>
        <w:rPr>
          <w:rFonts w:ascii="David" w:hAnsi="David" w:cs="David"/>
          <w:sz w:val="24"/>
          <w:szCs w:val="24"/>
          <w:rtl/>
        </w:rPr>
        <w:t xml:space="preserve">.2021, מספר חודשים לאחר פסק הדין המוסכם. היינו, לא מדובר היה בחוב עבר בלבד ועל כן לגובה החיוב השוטף ולהצמדתו למדד, היתה משמעות גם מבחינת כלכלת הבן בפועל. </w:t>
      </w:r>
    </w:p>
    <w:p w:rsidR="00FD766F" w:rsidRDefault="00FD766F" w:rsidP="00FD766F">
      <w:pPr>
        <w:pStyle w:val="ad"/>
        <w:spacing w:after="0" w:line="360" w:lineRule="auto"/>
        <w:ind w:left="368"/>
        <w:jc w:val="both"/>
        <w:rPr>
          <w:rFonts w:ascii="David" w:hAnsi="David" w:cs="David"/>
          <w:sz w:val="24"/>
          <w:szCs w:val="24"/>
        </w:rPr>
      </w:pPr>
    </w:p>
    <w:p w:rsidR="00FD766F" w:rsidRDefault="00FD766F" w:rsidP="002A34B4">
      <w:pPr>
        <w:pStyle w:val="ad"/>
        <w:numPr>
          <w:ilvl w:val="0"/>
          <w:numId w:val="1"/>
        </w:numPr>
        <w:spacing w:after="0" w:line="360" w:lineRule="auto"/>
        <w:ind w:left="368"/>
        <w:jc w:val="both"/>
        <w:rPr>
          <w:rFonts w:ascii="David" w:hAnsi="David" w:cs="David"/>
          <w:sz w:val="24"/>
          <w:szCs w:val="24"/>
        </w:rPr>
      </w:pPr>
      <w:r>
        <w:rPr>
          <w:rFonts w:ascii="David" w:hAnsi="David" w:cs="David"/>
          <w:sz w:val="24"/>
          <w:szCs w:val="24"/>
          <w:rtl/>
        </w:rPr>
        <w:t xml:space="preserve">נוכח העדר הסבירות שבקביעת חיוב נומינאלי במסגרת פשרה כמצוין לעיל וההיגיון הכלכלי הטמון בהצמדה למדד, אני מורה כי אין מקום להתערב בהחלטת כב' הרשמת </w:t>
      </w:r>
      <w:r w:rsidR="002A34B4">
        <w:rPr>
          <w:rFonts w:ascii="David" w:hAnsi="David" w:cs="David" w:hint="cs"/>
          <w:sz w:val="24"/>
          <w:szCs w:val="24"/>
          <w:rtl/>
        </w:rPr>
        <w:t>לפיה</w:t>
      </w:r>
      <w:r>
        <w:rPr>
          <w:rFonts w:ascii="David" w:hAnsi="David" w:cs="David"/>
          <w:sz w:val="24"/>
          <w:szCs w:val="24"/>
          <w:rtl/>
        </w:rPr>
        <w:t xml:space="preserve"> את סכום המזונות המוסכם שנקבע בפסק הדין שניתן בשנת 2021 יש להצמיד למדד, בהתאם להוראות פסק הדין משנת 2010. </w:t>
      </w:r>
    </w:p>
    <w:p w:rsidR="00FD766F" w:rsidRDefault="00FD766F" w:rsidP="00FD766F">
      <w:pPr>
        <w:pStyle w:val="ad"/>
        <w:rPr>
          <w:rFonts w:ascii="David" w:hAnsi="David" w:cs="David"/>
          <w:sz w:val="24"/>
          <w:szCs w:val="24"/>
        </w:rPr>
      </w:pPr>
    </w:p>
    <w:p w:rsidR="00FD766F" w:rsidRDefault="00FD766F" w:rsidP="002A34B4">
      <w:pPr>
        <w:pStyle w:val="ad"/>
        <w:numPr>
          <w:ilvl w:val="0"/>
          <w:numId w:val="1"/>
        </w:numPr>
        <w:spacing w:after="0" w:line="360" w:lineRule="auto"/>
        <w:ind w:left="368"/>
        <w:jc w:val="both"/>
        <w:rPr>
          <w:rFonts w:ascii="David" w:hAnsi="David" w:cs="David"/>
          <w:sz w:val="24"/>
          <w:szCs w:val="24"/>
          <w:rtl/>
        </w:rPr>
      </w:pPr>
      <w:r>
        <w:rPr>
          <w:rFonts w:ascii="David" w:hAnsi="David" w:cs="David"/>
          <w:sz w:val="24"/>
          <w:szCs w:val="24"/>
          <w:rtl/>
        </w:rPr>
        <w:t>יובהר כי לא מצאתי בהפניית האיש ל</w:t>
      </w:r>
      <w:r w:rsidR="002A34B4">
        <w:rPr>
          <w:rFonts w:ascii="David" w:hAnsi="David" w:cs="David" w:hint="cs"/>
          <w:sz w:val="24"/>
          <w:szCs w:val="24"/>
          <w:rtl/>
        </w:rPr>
        <w:t xml:space="preserve">סכומים שציינה האישה בתביעותיה ובבקשותיה </w:t>
      </w:r>
      <w:r>
        <w:rPr>
          <w:rFonts w:ascii="David" w:hAnsi="David" w:cs="David"/>
          <w:sz w:val="24"/>
          <w:szCs w:val="24"/>
          <w:rtl/>
        </w:rPr>
        <w:t xml:space="preserve">להגדלת חוב בתיק ההוצל"פ, שם נקבה בסכום "אבסולוטי" של 2,500 ₪, משום תמיכה בעמדתו לפיה האישה עתרה לחיוב נומינאלי בלבד. מקובלת עלי עמדת האישה בנקודה זו כי הסכום צוין כפי שצוין, מבלי לחשב את ערכו לאחר ההצמדה למדד, מתוך הנחה כי במסגרת החלטת רשם ההוצל"פ על עדכון קרן שוטפת, ניתנות הוראות בדבר הצמדת החיוב למדד הרלוונטי. </w:t>
      </w:r>
    </w:p>
    <w:p w:rsidR="00540BF5" w:rsidRDefault="00540BF5" w:rsidP="00FD766F">
      <w:pPr>
        <w:spacing w:line="360" w:lineRule="auto"/>
        <w:jc w:val="both"/>
        <w:rPr>
          <w:rFonts w:ascii="David" w:hAnsi="David"/>
          <w:b/>
          <w:bCs/>
          <w:u w:val="single"/>
          <w:rtl/>
        </w:rPr>
      </w:pPr>
    </w:p>
    <w:p w:rsidR="00540BF5" w:rsidRDefault="00540BF5" w:rsidP="00FD766F">
      <w:pPr>
        <w:spacing w:line="360" w:lineRule="auto"/>
        <w:jc w:val="both"/>
        <w:rPr>
          <w:rFonts w:ascii="David" w:hAnsi="David"/>
          <w:b/>
          <w:bCs/>
          <w:u w:val="single"/>
          <w:rtl/>
        </w:rPr>
      </w:pPr>
    </w:p>
    <w:p w:rsidR="00540BF5" w:rsidRDefault="00540BF5" w:rsidP="00FD766F">
      <w:pPr>
        <w:spacing w:line="360" w:lineRule="auto"/>
        <w:jc w:val="both"/>
        <w:rPr>
          <w:rFonts w:ascii="David" w:hAnsi="David"/>
          <w:b/>
          <w:bCs/>
          <w:u w:val="single"/>
          <w:rtl/>
        </w:rPr>
      </w:pPr>
    </w:p>
    <w:p w:rsidR="00FD766F" w:rsidRDefault="00FD766F" w:rsidP="00FD766F">
      <w:pPr>
        <w:spacing w:line="360" w:lineRule="auto"/>
        <w:jc w:val="both"/>
        <w:rPr>
          <w:rFonts w:ascii="David" w:hAnsi="David"/>
          <w:b/>
          <w:bCs/>
          <w:u w:val="single"/>
          <w:rtl/>
        </w:rPr>
      </w:pPr>
      <w:r>
        <w:rPr>
          <w:rFonts w:ascii="David" w:hAnsi="David"/>
          <w:b/>
          <w:bCs/>
          <w:u w:val="single"/>
          <w:rtl/>
        </w:rPr>
        <w:lastRenderedPageBreak/>
        <w:t>סוף דבר</w:t>
      </w:r>
    </w:p>
    <w:p w:rsidR="00FD766F" w:rsidRDefault="00FD766F" w:rsidP="00FD766F">
      <w:pPr>
        <w:spacing w:line="360" w:lineRule="auto"/>
        <w:jc w:val="both"/>
        <w:rPr>
          <w:rFonts w:ascii="David" w:hAnsi="David"/>
          <w:rtl/>
        </w:rPr>
      </w:pPr>
    </w:p>
    <w:p w:rsidR="00FD766F" w:rsidRPr="00AD1F3F" w:rsidRDefault="00FD766F" w:rsidP="00FD766F">
      <w:pPr>
        <w:pStyle w:val="ad"/>
        <w:numPr>
          <w:ilvl w:val="0"/>
          <w:numId w:val="3"/>
        </w:numPr>
        <w:spacing w:after="0" w:line="360" w:lineRule="auto"/>
        <w:ind w:left="368"/>
        <w:jc w:val="both"/>
        <w:rPr>
          <w:rFonts w:ascii="David" w:hAnsi="David" w:cs="David"/>
          <w:sz w:val="24"/>
          <w:szCs w:val="24"/>
          <w:rtl/>
        </w:rPr>
      </w:pPr>
      <w:r w:rsidRPr="00AD1F3F">
        <w:rPr>
          <w:rFonts w:ascii="David" w:hAnsi="David" w:cs="David"/>
          <w:sz w:val="24"/>
          <w:szCs w:val="24"/>
          <w:rtl/>
        </w:rPr>
        <w:t>אני מורה על קבלת ערעורה של האישה באופן שעדכון החוב יכלול גם את חיובי המזונות בתקופה שבמחלוקת: 7/17-6/20. עם זאת, מפאת השיהוי בו נקטה האישה בעדכונו, אני מורה כי לא תתווסף ריבית פיגורים לחיוב השוטף בתקופה הנ"ל</w:t>
      </w:r>
      <w:r w:rsidR="00AD1F3F" w:rsidRPr="00AD1F3F">
        <w:rPr>
          <w:rFonts w:ascii="David" w:hAnsi="David" w:cs="David" w:hint="cs"/>
          <w:sz w:val="24"/>
          <w:szCs w:val="24"/>
          <w:rtl/>
        </w:rPr>
        <w:t>, אלא רק ריבית משפטית והפרשי הצמדה, כפי הוראות פסק הדין משנת 2010</w:t>
      </w:r>
      <w:r w:rsidRPr="00AD1F3F">
        <w:rPr>
          <w:rFonts w:ascii="David" w:hAnsi="David" w:cs="David"/>
          <w:sz w:val="24"/>
          <w:szCs w:val="24"/>
          <w:rtl/>
        </w:rPr>
        <w:t xml:space="preserve">. </w:t>
      </w:r>
    </w:p>
    <w:p w:rsidR="00FD766F" w:rsidRDefault="00FD766F" w:rsidP="00FD766F">
      <w:pPr>
        <w:spacing w:line="360" w:lineRule="auto"/>
        <w:jc w:val="both"/>
        <w:rPr>
          <w:rFonts w:ascii="David" w:hAnsi="David"/>
          <w:rtl/>
        </w:rPr>
      </w:pPr>
    </w:p>
    <w:p w:rsidR="00FD766F" w:rsidRDefault="00FD766F" w:rsidP="00FD766F">
      <w:pPr>
        <w:pStyle w:val="ad"/>
        <w:numPr>
          <w:ilvl w:val="0"/>
          <w:numId w:val="3"/>
        </w:numPr>
        <w:spacing w:after="0" w:line="360" w:lineRule="auto"/>
        <w:ind w:left="368"/>
        <w:jc w:val="both"/>
        <w:rPr>
          <w:rFonts w:ascii="David" w:hAnsi="David" w:cs="David"/>
          <w:sz w:val="24"/>
          <w:szCs w:val="24"/>
          <w:rtl/>
        </w:rPr>
      </w:pPr>
      <w:r>
        <w:rPr>
          <w:rFonts w:ascii="David" w:hAnsi="David" w:cs="David"/>
          <w:sz w:val="24"/>
          <w:szCs w:val="24"/>
          <w:rtl/>
        </w:rPr>
        <w:t>כפועל יוצא אני מורה על מחיקת תביעת האישה לקבלת היתר לגביית מזונות לפי סעיף 11(ב) לחוק לתיקון דיני משפחה (מזונות) התש"יט – 1956 מאחר וזו התייתרה נוכח קבלת הערעור.</w:t>
      </w:r>
    </w:p>
    <w:p w:rsidR="00FD766F" w:rsidRDefault="00FD766F" w:rsidP="00FD766F">
      <w:pPr>
        <w:pStyle w:val="ad"/>
        <w:rPr>
          <w:rFonts w:ascii="David" w:hAnsi="David" w:cs="David"/>
          <w:sz w:val="24"/>
          <w:szCs w:val="24"/>
        </w:rPr>
      </w:pPr>
    </w:p>
    <w:p w:rsidR="00FD766F" w:rsidRDefault="00FD766F" w:rsidP="00FD766F">
      <w:pPr>
        <w:pStyle w:val="ad"/>
        <w:numPr>
          <w:ilvl w:val="0"/>
          <w:numId w:val="3"/>
        </w:numPr>
        <w:spacing w:after="0" w:line="360" w:lineRule="auto"/>
        <w:ind w:left="368"/>
        <w:jc w:val="both"/>
        <w:rPr>
          <w:rFonts w:ascii="David" w:hAnsi="David" w:cs="David"/>
          <w:sz w:val="24"/>
          <w:szCs w:val="24"/>
          <w:rtl/>
        </w:rPr>
      </w:pPr>
      <w:r>
        <w:rPr>
          <w:rFonts w:ascii="David" w:hAnsi="David" w:cs="David"/>
          <w:sz w:val="24"/>
          <w:szCs w:val="24"/>
          <w:rtl/>
        </w:rPr>
        <w:t xml:space="preserve">אני מורה על דחיית ערעורו של האיש לעניין מועד החלת החיוב המוסכם שנקבע בפסק הדין משנת 2021 באופן שהחלטת כב' הרשמת מיום 3.8.23 תיוותר על כנה (לעניין המועד שנקבע- 16.7.2009). </w:t>
      </w:r>
    </w:p>
    <w:p w:rsidR="00FD766F" w:rsidRDefault="00FD766F" w:rsidP="00FD766F">
      <w:pPr>
        <w:pStyle w:val="ad"/>
        <w:rPr>
          <w:rFonts w:ascii="David" w:hAnsi="David" w:cs="David"/>
          <w:sz w:val="24"/>
          <w:szCs w:val="24"/>
        </w:rPr>
      </w:pPr>
    </w:p>
    <w:p w:rsidR="00FD766F" w:rsidRDefault="00FD766F" w:rsidP="00FD766F">
      <w:pPr>
        <w:pStyle w:val="ad"/>
        <w:numPr>
          <w:ilvl w:val="0"/>
          <w:numId w:val="3"/>
        </w:numPr>
        <w:spacing w:after="0" w:line="360" w:lineRule="auto"/>
        <w:ind w:left="368"/>
        <w:jc w:val="both"/>
        <w:rPr>
          <w:rFonts w:ascii="David" w:hAnsi="David" w:cs="David"/>
          <w:sz w:val="24"/>
          <w:szCs w:val="24"/>
          <w:rtl/>
        </w:rPr>
      </w:pPr>
      <w:r>
        <w:rPr>
          <w:rFonts w:ascii="David" w:hAnsi="David" w:cs="David"/>
          <w:sz w:val="24"/>
          <w:szCs w:val="24"/>
          <w:rtl/>
        </w:rPr>
        <w:t xml:space="preserve">אני מורה על דחיית ערעורו של האיש לעניין ביטול ההצמדה למדד עליה הורתה כב' הרשמת.  </w:t>
      </w:r>
    </w:p>
    <w:p w:rsidR="00FD766F" w:rsidRDefault="00FD766F" w:rsidP="00FD766F">
      <w:pPr>
        <w:pStyle w:val="ad"/>
        <w:rPr>
          <w:rFonts w:ascii="David" w:hAnsi="David" w:cs="David"/>
          <w:sz w:val="24"/>
          <w:szCs w:val="24"/>
        </w:rPr>
      </w:pPr>
    </w:p>
    <w:p w:rsidR="00FD766F" w:rsidRDefault="00FD766F" w:rsidP="00FD766F">
      <w:pPr>
        <w:pStyle w:val="ad"/>
        <w:numPr>
          <w:ilvl w:val="0"/>
          <w:numId w:val="3"/>
        </w:numPr>
        <w:spacing w:after="0" w:line="360" w:lineRule="auto"/>
        <w:ind w:left="368"/>
        <w:jc w:val="both"/>
        <w:rPr>
          <w:rFonts w:ascii="David" w:hAnsi="David" w:cs="David"/>
          <w:sz w:val="24"/>
          <w:szCs w:val="24"/>
          <w:rtl/>
        </w:rPr>
      </w:pPr>
      <w:r>
        <w:rPr>
          <w:rFonts w:ascii="David" w:hAnsi="David" w:cs="David"/>
          <w:sz w:val="24"/>
          <w:szCs w:val="24"/>
          <w:rtl/>
        </w:rPr>
        <w:t xml:space="preserve">הוראות לעניין עדכון החוב יינתנו על ידי כב' הרשמת. </w:t>
      </w:r>
    </w:p>
    <w:p w:rsidR="00FD766F" w:rsidRDefault="00FD766F" w:rsidP="00FD766F">
      <w:pPr>
        <w:pStyle w:val="ad"/>
        <w:rPr>
          <w:rFonts w:ascii="David" w:hAnsi="David" w:cs="David"/>
          <w:sz w:val="24"/>
          <w:szCs w:val="24"/>
        </w:rPr>
      </w:pPr>
    </w:p>
    <w:p w:rsidR="00FD766F" w:rsidRDefault="00FD766F" w:rsidP="00FD766F">
      <w:pPr>
        <w:spacing w:line="360" w:lineRule="auto"/>
        <w:jc w:val="both"/>
        <w:rPr>
          <w:rFonts w:ascii="David" w:hAnsi="David"/>
          <w:rtl/>
        </w:rPr>
      </w:pPr>
      <w:r>
        <w:rPr>
          <w:rFonts w:ascii="David" w:hAnsi="David"/>
          <w:rtl/>
        </w:rPr>
        <w:t xml:space="preserve">בהינתן כי האישה מיוצגת על ידי הלשכה לסיוע משפטי ונוכח כלל הנסיבות שפורטו לעיל, חרף קבלת ערעור האישה ודחיית ערעורו של האיש, לא מצאתי מקום ליתן צו להוצאות. </w:t>
      </w:r>
    </w:p>
    <w:p w:rsidR="00FD766F" w:rsidRDefault="00FD766F" w:rsidP="00FD766F">
      <w:pPr>
        <w:spacing w:line="360" w:lineRule="auto"/>
        <w:jc w:val="both"/>
        <w:rPr>
          <w:rFonts w:ascii="David" w:hAnsi="David"/>
          <w:rtl/>
        </w:rPr>
      </w:pPr>
    </w:p>
    <w:p w:rsidR="00932500" w:rsidRPr="00932500" w:rsidRDefault="00932500" w:rsidP="00FD766F">
      <w:pPr>
        <w:spacing w:line="360" w:lineRule="auto"/>
        <w:jc w:val="both"/>
        <w:rPr>
          <w:rFonts w:ascii="David" w:hAnsi="David"/>
          <w:b/>
          <w:bCs/>
          <w:rtl/>
        </w:rPr>
      </w:pPr>
      <w:r w:rsidRPr="00932500">
        <w:rPr>
          <w:rFonts w:ascii="David" w:hAnsi="David" w:hint="cs"/>
          <w:b/>
          <w:bCs/>
          <w:rtl/>
        </w:rPr>
        <w:t>פסק הדין מותר לפרסום בכפוף להשמטת פרטים מזהים ותיקוני הגהה.</w:t>
      </w:r>
    </w:p>
    <w:p w:rsidR="00932500" w:rsidRDefault="00932500" w:rsidP="00FD766F">
      <w:pPr>
        <w:spacing w:line="360" w:lineRule="auto"/>
        <w:jc w:val="both"/>
        <w:rPr>
          <w:rFonts w:ascii="David" w:hAnsi="David"/>
          <w:rtl/>
        </w:rPr>
      </w:pPr>
    </w:p>
    <w:p w:rsidR="00FD766F" w:rsidRDefault="00FD766F" w:rsidP="00FD766F">
      <w:pPr>
        <w:spacing w:line="360" w:lineRule="auto"/>
        <w:jc w:val="both"/>
        <w:rPr>
          <w:rFonts w:ascii="David" w:hAnsi="David"/>
          <w:rtl/>
        </w:rPr>
      </w:pPr>
      <w:r>
        <w:rPr>
          <w:rFonts w:ascii="David" w:hAnsi="David"/>
          <w:b/>
          <w:bCs/>
          <w:rtl/>
        </w:rPr>
        <w:t xml:space="preserve">המזכירות תמציא לצדדים וללשכת ההוצל"פ בחיפה ותסגור את כל התיקים שבכותרת. </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כ"ז תשרי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29 אוקטובר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03752C" w:rsidP="00633C4F">
      <w:pPr>
        <w:spacing w:line="360" w:lineRule="auto"/>
        <w:ind w:left="3600" w:firstLine="720"/>
      </w:pPr>
      <w:sdt>
        <w:sdtPr>
          <w:rPr>
            <w:rtl/>
          </w:rPr>
          <w:alias w:val="MergeField"/>
          <w:tag w:val="1237"/>
          <w:id w:val="-490945557"/>
        </w:sdtPr>
        <w:sdtEndPr/>
        <w:sdtContent>
          <w:r w:rsidR="00932500">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6"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7"/>
      <w:headerReference w:type="default" r:id="rId18"/>
      <w:footerReference w:type="even" r:id="rId19"/>
      <w:footerReference w:type="default" r:id="rId20"/>
      <w:headerReference w:type="first" r:id="rId21"/>
      <w:footerReference w:type="first" r:id="rId22"/>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752C" w:rsidRDefault="0003752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3752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3752C">
      <w:rPr>
        <w:rStyle w:val="ab"/>
        <w:rtl/>
      </w:rPr>
      <w:t>16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752C" w:rsidRDefault="0003752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752C" w:rsidRDefault="0003752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03752C" w:rsidP="00932500">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48269-04-23</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932500">
                <w:rPr>
                  <w:rFonts w:hint="cs"/>
                  <w:b/>
                  <w:bCs/>
                  <w:noProof w:val="0"/>
                  <w:sz w:val="26"/>
                  <w:szCs w:val="26"/>
                  <w:rtl/>
                </w:rPr>
                <w:t>האישה</w:t>
              </w:r>
              <w:r w:rsidR="00FB3C14">
                <w:rPr>
                  <w:b/>
                  <w:bCs/>
                  <w:noProof w:val="0"/>
                  <w:sz w:val="26"/>
                  <w:szCs w:val="26"/>
                  <w:rtl/>
                </w:rPr>
                <w:t xml:space="preserve"> נ' </w:t>
              </w:r>
              <w:r w:rsidR="00932500">
                <w:rPr>
                  <w:rFonts w:hint="cs"/>
                  <w:b/>
                  <w:bCs/>
                  <w:noProof w:val="0"/>
                  <w:sz w:val="26"/>
                  <w:szCs w:val="26"/>
                  <w:rtl/>
                </w:rPr>
                <w:t>האיש</w:t>
              </w:r>
            </w:sdtContent>
          </w:sdt>
        </w:p>
        <w:p w:rsidR="00694556" w:rsidRPr="00957C90" w:rsidRDefault="00694556">
          <w:pPr>
            <w:rPr>
              <w:b/>
              <w:bCs/>
              <w:noProof w:val="0"/>
              <w:sz w:val="2"/>
              <w:szCs w:val="2"/>
              <w:rtl/>
            </w:rPr>
          </w:pPr>
        </w:p>
        <w:p w:rsidR="00036E5A" w:rsidRDefault="0003752C" w:rsidP="00932500">
          <w:pPr>
            <w:rPr>
              <w:b/>
              <w:bCs/>
              <w:noProof w:val="0"/>
              <w:sz w:val="26"/>
              <w:szCs w:val="26"/>
              <w:rtl/>
            </w:rPr>
          </w:pPr>
          <w:sdt>
            <w:sdtPr>
              <w:rPr>
                <w:b/>
                <w:bCs/>
                <w:noProof w:val="0"/>
                <w:sz w:val="26"/>
                <w:szCs w:val="26"/>
                <w:rtl/>
              </w:rPr>
              <w:alias w:val="1170"/>
              <w:tag w:val="1170"/>
              <w:id w:val="-416399473"/>
              <w:text w:multiLine="1"/>
            </w:sdtPr>
            <w:sdtEndPr/>
            <w:sdtContent>
              <w:r w:rsidR="00036E5A">
                <w:rPr>
                  <w:rFonts w:hint="cs"/>
                  <w:b/>
                  <w:bCs/>
                  <w:noProof w:val="0"/>
                  <w:sz w:val="26"/>
                  <w:szCs w:val="26"/>
                  <w:rtl/>
                </w:rPr>
                <w:t>ע"ר</w:t>
              </w:r>
            </w:sdtContent>
          </w:sdt>
          <w:r w:rsidR="00036E5A">
            <w:rPr>
              <w:b/>
              <w:bCs/>
              <w:noProof w:val="0"/>
              <w:sz w:val="26"/>
              <w:szCs w:val="26"/>
              <w:rtl/>
            </w:rPr>
            <w:t xml:space="preserve"> </w:t>
          </w:r>
          <w:sdt>
            <w:sdtPr>
              <w:rPr>
                <w:b/>
                <w:bCs/>
                <w:noProof w:val="0"/>
                <w:sz w:val="26"/>
                <w:szCs w:val="26"/>
                <w:rtl/>
              </w:rPr>
              <w:alias w:val="1171"/>
              <w:tag w:val="1171"/>
              <w:id w:val="-1432737700"/>
              <w:text w:multiLine="1"/>
            </w:sdtPr>
            <w:sdtEndPr/>
            <w:sdtContent>
              <w:r w:rsidR="00036E5A">
                <w:rPr>
                  <w:rFonts w:hint="cs"/>
                  <w:b/>
                  <w:bCs/>
                  <w:noProof w:val="0"/>
                  <w:sz w:val="26"/>
                  <w:szCs w:val="26"/>
                  <w:rtl/>
                </w:rPr>
                <w:t>39159</w:t>
              </w:r>
              <w:r w:rsidR="00036E5A">
                <w:rPr>
                  <w:b/>
                  <w:bCs/>
                  <w:noProof w:val="0"/>
                  <w:sz w:val="26"/>
                  <w:szCs w:val="26"/>
                  <w:rtl/>
                </w:rPr>
                <w:t>-0</w:t>
              </w:r>
              <w:r w:rsidR="00036E5A">
                <w:rPr>
                  <w:rFonts w:hint="cs"/>
                  <w:b/>
                  <w:bCs/>
                  <w:noProof w:val="0"/>
                  <w:sz w:val="26"/>
                  <w:szCs w:val="26"/>
                  <w:rtl/>
                </w:rPr>
                <w:t>6</w:t>
              </w:r>
              <w:r w:rsidR="00036E5A">
                <w:rPr>
                  <w:b/>
                  <w:bCs/>
                  <w:noProof w:val="0"/>
                  <w:sz w:val="26"/>
                  <w:szCs w:val="26"/>
                  <w:rtl/>
                </w:rPr>
                <w:t>-23</w:t>
              </w:r>
            </w:sdtContent>
          </w:sdt>
          <w:r w:rsidR="00036E5A">
            <w:rPr>
              <w:b/>
              <w:bCs/>
              <w:noProof w:val="0"/>
              <w:sz w:val="26"/>
              <w:szCs w:val="26"/>
              <w:rtl/>
            </w:rPr>
            <w:t xml:space="preserve"> </w:t>
          </w:r>
          <w:sdt>
            <w:sdtPr>
              <w:rPr>
                <w:b/>
                <w:bCs/>
                <w:noProof w:val="0"/>
                <w:sz w:val="26"/>
                <w:szCs w:val="26"/>
                <w:rtl/>
              </w:rPr>
              <w:alias w:val="1172"/>
              <w:tag w:val="1172"/>
              <w:id w:val="-1912769858"/>
              <w:text w:multiLine="1"/>
            </w:sdtPr>
            <w:sdtEndPr/>
            <w:sdtContent>
              <w:r w:rsidR="00932500">
                <w:rPr>
                  <w:rFonts w:hint="cs"/>
                  <w:b/>
                  <w:bCs/>
                  <w:noProof w:val="0"/>
                  <w:sz w:val="26"/>
                  <w:szCs w:val="26"/>
                  <w:rtl/>
                </w:rPr>
                <w:t>האיש נ' האישה</w:t>
              </w:r>
            </w:sdtContent>
          </w:sdt>
        </w:p>
        <w:p w:rsidR="00036E5A" w:rsidRDefault="0003752C" w:rsidP="00932500">
          <w:pPr>
            <w:rPr>
              <w:b/>
              <w:bCs/>
              <w:noProof w:val="0"/>
              <w:sz w:val="26"/>
              <w:szCs w:val="26"/>
              <w:rtl/>
            </w:rPr>
          </w:pPr>
          <w:sdt>
            <w:sdtPr>
              <w:rPr>
                <w:b/>
                <w:bCs/>
                <w:noProof w:val="0"/>
                <w:sz w:val="26"/>
                <w:szCs w:val="26"/>
                <w:rtl/>
              </w:rPr>
              <w:alias w:val="1170"/>
              <w:tag w:val="1170"/>
              <w:id w:val="-686908708"/>
              <w:text w:multiLine="1"/>
            </w:sdtPr>
            <w:sdtEndPr/>
            <w:sdtContent>
              <w:r w:rsidR="00036E5A">
                <w:rPr>
                  <w:b/>
                  <w:bCs/>
                  <w:noProof w:val="0"/>
                  <w:sz w:val="26"/>
                  <w:szCs w:val="26"/>
                  <w:rtl/>
                </w:rPr>
                <w:t>ת</w:t>
              </w:r>
              <w:r w:rsidR="00036E5A">
                <w:rPr>
                  <w:rFonts w:hint="cs"/>
                  <w:b/>
                  <w:bCs/>
                  <w:noProof w:val="0"/>
                  <w:sz w:val="26"/>
                  <w:szCs w:val="26"/>
                  <w:rtl/>
                </w:rPr>
                <w:t>לה"מ</w:t>
              </w:r>
            </w:sdtContent>
          </w:sdt>
          <w:r w:rsidR="00036E5A">
            <w:rPr>
              <w:b/>
              <w:bCs/>
              <w:noProof w:val="0"/>
              <w:sz w:val="26"/>
              <w:szCs w:val="26"/>
              <w:rtl/>
            </w:rPr>
            <w:t xml:space="preserve"> </w:t>
          </w:r>
          <w:sdt>
            <w:sdtPr>
              <w:rPr>
                <w:b/>
                <w:bCs/>
                <w:noProof w:val="0"/>
                <w:sz w:val="26"/>
                <w:szCs w:val="26"/>
                <w:rtl/>
              </w:rPr>
              <w:alias w:val="1171"/>
              <w:tag w:val="1171"/>
              <w:id w:val="1274367138"/>
              <w:text w:multiLine="1"/>
            </w:sdtPr>
            <w:sdtEndPr/>
            <w:sdtContent>
              <w:r w:rsidR="00036E5A">
                <w:rPr>
                  <w:b/>
                  <w:bCs/>
                  <w:noProof w:val="0"/>
                  <w:sz w:val="26"/>
                  <w:szCs w:val="26"/>
                  <w:rtl/>
                </w:rPr>
                <w:t>4</w:t>
              </w:r>
              <w:r w:rsidR="00036E5A">
                <w:rPr>
                  <w:rFonts w:hint="cs"/>
                  <w:b/>
                  <w:bCs/>
                  <w:noProof w:val="0"/>
                  <w:sz w:val="26"/>
                  <w:szCs w:val="26"/>
                  <w:rtl/>
                </w:rPr>
                <w:t>2723</w:t>
              </w:r>
              <w:r w:rsidR="00036E5A">
                <w:rPr>
                  <w:b/>
                  <w:bCs/>
                  <w:noProof w:val="0"/>
                  <w:sz w:val="26"/>
                  <w:szCs w:val="26"/>
                  <w:rtl/>
                </w:rPr>
                <w:t>-0</w:t>
              </w:r>
              <w:r w:rsidR="00036E5A">
                <w:rPr>
                  <w:rFonts w:hint="cs"/>
                  <w:b/>
                  <w:bCs/>
                  <w:noProof w:val="0"/>
                  <w:sz w:val="26"/>
                  <w:szCs w:val="26"/>
                  <w:rtl/>
                </w:rPr>
                <w:t>7</w:t>
              </w:r>
              <w:r w:rsidR="00036E5A">
                <w:rPr>
                  <w:b/>
                  <w:bCs/>
                  <w:noProof w:val="0"/>
                  <w:sz w:val="26"/>
                  <w:szCs w:val="26"/>
                  <w:rtl/>
                </w:rPr>
                <w:t>-23</w:t>
              </w:r>
            </w:sdtContent>
          </w:sdt>
          <w:r w:rsidR="00036E5A">
            <w:rPr>
              <w:b/>
              <w:bCs/>
              <w:noProof w:val="0"/>
              <w:sz w:val="26"/>
              <w:szCs w:val="26"/>
              <w:rtl/>
            </w:rPr>
            <w:t xml:space="preserve"> </w:t>
          </w:r>
          <w:sdt>
            <w:sdtPr>
              <w:rPr>
                <w:b/>
                <w:bCs/>
                <w:noProof w:val="0"/>
                <w:sz w:val="26"/>
                <w:szCs w:val="26"/>
                <w:rtl/>
              </w:rPr>
              <w:alias w:val="1172"/>
              <w:tag w:val="1172"/>
              <w:id w:val="1057667897"/>
              <w:text w:multiLine="1"/>
            </w:sdtPr>
            <w:sdtEndPr/>
            <w:sdtContent>
              <w:r w:rsidR="00932500">
                <w:rPr>
                  <w:rFonts w:hint="cs"/>
                  <w:b/>
                  <w:bCs/>
                  <w:noProof w:val="0"/>
                  <w:sz w:val="26"/>
                  <w:szCs w:val="26"/>
                  <w:rtl/>
                </w:rPr>
                <w:t>האישה</w:t>
              </w:r>
              <w:r w:rsidR="00036E5A">
                <w:rPr>
                  <w:b/>
                  <w:bCs/>
                  <w:noProof w:val="0"/>
                  <w:sz w:val="26"/>
                  <w:szCs w:val="26"/>
                  <w:rtl/>
                </w:rPr>
                <w:t xml:space="preserve"> נ' </w:t>
              </w:r>
              <w:r w:rsidR="00932500">
                <w:rPr>
                  <w:rFonts w:hint="cs"/>
                  <w:b/>
                  <w:bCs/>
                  <w:noProof w:val="0"/>
                  <w:sz w:val="26"/>
                  <w:szCs w:val="26"/>
                  <w:rtl/>
                </w:rPr>
                <w:t>האיש</w:t>
              </w:r>
            </w:sdtContent>
          </w:sdt>
        </w:p>
        <w:p w:rsidR="00957C90" w:rsidRPr="00957C90" w:rsidRDefault="00957C90" w:rsidP="00036E5A">
          <w:pPr>
            <w:rPr>
              <w:b/>
              <w:bCs/>
              <w:noProof w:val="0"/>
              <w:sz w:val="26"/>
              <w:szCs w:val="26"/>
              <w:rtl/>
            </w:rPr>
          </w:pPr>
          <w:r w:rsidRPr="00957C90">
            <w:rPr>
              <w:rFonts w:hint="cs"/>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752C" w:rsidRDefault="0003752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622FC"/>
    <w:multiLevelType w:val="hybridMultilevel"/>
    <w:tmpl w:val="B28889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C3D798B"/>
    <w:multiLevelType w:val="hybridMultilevel"/>
    <w:tmpl w:val="ECEA68DE"/>
    <w:lvl w:ilvl="0" w:tplc="1A78C50C">
      <w:start w:val="1"/>
      <w:numFmt w:val="hebrew1"/>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2" w15:restartNumberingAfterBreak="0">
    <w:nsid w:val="3FC242FD"/>
    <w:multiLevelType w:val="hybridMultilevel"/>
    <w:tmpl w:val="1B3AE3DC"/>
    <w:lvl w:ilvl="0" w:tplc="F2A4300C">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131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19924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199243&amp;lt;/CaseID&amp;gt;_x000d__x000a_        &amp;lt;CaseMonth&amp;gt;4&amp;lt;/CaseMonth&amp;gt;_x000d__x000a_        &amp;lt;CaseYear&amp;gt;2023&amp;lt;/CaseYear&amp;gt;_x000d__x000a_        &amp;lt;CaseNumber&amp;gt;48269&amp;lt;/CaseNumber&amp;gt;_x000d__x000a_        &amp;lt;NumeratorGroupID&amp;gt;1&amp;lt;/NumeratorGroupID&amp;gt;_x000d__x000a_        &amp;lt;CaseName&amp;gt;יגודאייבה נ&amp;#39; קסטריאנו&amp;lt;/CaseName&amp;gt;_x000d__x000a_        &amp;lt;CourtID&amp;gt;26&amp;lt;/CourtID&amp;gt;_x000d__x000a_        &amp;lt;CaseTypeID&amp;gt;15&amp;lt;/CaseTypeID&amp;gt;_x000d__x000a_        &amp;lt;CaseInterestID&amp;gt;167&amp;lt;/CaseInterestID&amp;gt;_x000d__x000a_        &amp;lt;CaseJudgeName&amp;gt;לירון זרבל- קדש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8269-04-23&amp;lt;/CaseDisplayIdentifier&amp;gt;_x000d__x000a_        &amp;lt;CaseTypeDesc&amp;gt;תמ&amp;quot;ש&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3-04-27T10:20: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199243&amp;lt;/CaseID&amp;gt;_x000d__x000a_        &amp;lt;CaseMonth&amp;gt;4&amp;lt;/CaseMonth&amp;gt;_x000d__x000a_        &amp;lt;CaseYear&amp;gt;2023&amp;lt;/CaseYear&amp;gt;_x000d__x000a_        &amp;lt;CaseNumber&amp;gt;48269&amp;lt;/CaseNumber&amp;gt;_x000d__x000a_        &amp;lt;NumeratorGroupID&amp;gt;1&amp;lt;/NumeratorGroupID&amp;gt;_x000d__x000a_        &amp;lt;CaseName&amp;gt;יגודאייבה נ&amp;#39; קסטריאנו&amp;lt;/CaseName&amp;gt;_x000d__x000a_        &amp;lt;CourtID&amp;gt;26&amp;lt;/CourtID&amp;gt;_x000d__x000a_        &amp;lt;CaseTypeID&amp;gt;15&amp;lt;/CaseTypeID&amp;gt;_x000d__x000a_        &amp;lt;CaseInterestID&amp;gt;167&amp;lt;/CaseInterestID&amp;gt;_x000d__x000a_        &amp;lt;CaseJudgeName&amp;gt;לירון זרבל- קדש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8269-04-23&amp;lt;/CaseDisplayIdentifier&amp;gt;_x000d__x000a_        &amp;lt;CaseTypeDesc&amp;gt;תמ&amp;quot;ש&amp;lt;/CaseTypeDesc&amp;gt;_x000d__x000a_        &amp;lt;CourtDesc&amp;gt;שלום חיפה&amp;lt;/CourtDesc&amp;gt;_x000d__x000a_        &amp;lt;CaseStageDesc&amp;gt;תיק אלקטרוני&amp;lt;/CaseStageDesc&amp;gt;_x000d__x000a_        &amp;lt;CaseNextDeterminingTask&amp;gt;140&amp;lt;/CaseNextDeterminingTask&amp;gt;_x000d__x000a_        &amp;lt;CaseOpenDate&amp;gt;2023-04-27T10:20: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672919&amp;lt;/DecisionID&amp;gt;_x000d__x000a_        &amp;lt;DecisionName&amp;gt;פסק דין  שניתנה ע&amp;quot;י  לירון זרבל- קדשאי&amp;lt;/DecisionName&amp;gt;_x000d__x000a_        &amp;lt;DecisionStatusID&amp;gt;1&amp;lt;/DecisionStatusID&amp;gt;_x000d__x000a_        &amp;lt;DecisionStatusChangeDate&amp;gt;2024-10-29T17:37:38.013+02:00&amp;lt;/DecisionStatusChangeDate&amp;gt;_x000d__x000a_        &amp;lt;DecisionSignatureDate&amp;gt;2024-10-29T12:25:54.59+02:00&amp;lt;/DecisionSignatureDate&amp;gt;_x000d__x000a_        &amp;lt;DecisionSignatureUserID&amp;gt;033554098@GOV.IL&amp;lt;/DecisionSignatureUserID&amp;gt;_x000d__x000a_        &amp;lt;DecisionCreateDate&amp;gt;2024-10-29T11:24:44.43+02:00&amp;lt;/DecisionCreateDate&amp;gt;_x000d__x000a_        &amp;lt;DecisionChangeDate&amp;gt;2024-10-29T17:37:38.16+02:00&amp;lt;/DecisionChangeDate&amp;gt;_x000d__x000a_        &amp;lt;DecisionChangeUserID&amp;gt;03355409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881991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55409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658951@GOV.IL&amp;lt;/DecisionCreationUserID&amp;gt;_x000d__x000a_        &amp;lt;DecisionDisplayName&amp;gt;פסק דין  שניתנה ע&amp;quot;י  לירון זרבל- קדשאי&amp;lt;/DecisionDisplayName&amp;gt;_x000d__x000a_        &amp;lt;IsScanned&amp;gt;false&amp;lt;/IsScanned&amp;gt;_x000d__x000a_        &amp;lt;DecisionSignatureUserName&amp;gt;לירון זרבל- קדש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amp;gt;_x000d__x000a_        &amp;lt;DecisionID&amp;gt;155672919&amp;lt;/DecisionID&amp;gt;_x000d__x000a_        &amp;lt;CaseID&amp;gt;80199243&amp;lt;/CaseID&amp;gt;_x000d__x000a_        &amp;lt;IsOriginal&amp;gt;true&amp;lt;/IsOriginal&amp;gt;_x000d__x000a_        &amp;lt;IsDeleted&amp;gt;false&amp;lt;/IsDeleted&amp;gt;_x000d__x000a_        &amp;lt;CaseName&amp;gt;יגודאייבה נ&amp;#39; קסטריאנו&amp;lt;/CaseName&amp;gt;_x000d__x000a_        &amp;lt;CaseDisplayIdentifier&amp;gt;48269-04-23 תמ&amp;quot;ש&amp;lt;/CaseDisplayIdentifier&amp;gt;_x000d__x000a_      &amp;lt;/dt_DecisionCase&amp;gt;_x000d__x000a_    &amp;lt;/DecisionDS&amp;gt;_x000d__x000a_  &amp;lt;/diffgr:diffgram&amp;gt;_x000d__x000a_&amp;lt;/DecisionDS&amp;gt;"/>
    <w:docVar w:name="DecisionID" w:val="155672919"/>
    <w:docVar w:name="WordClientAssemblyName" w:val="NGCS.Decision.ClientWordBL"/>
    <w:docVar w:name="WordClientClassName" w:val="NGCS.Decision.ClientWordBL.DecisionClient"/>
  </w:docVars>
  <w:rsids>
    <w:rsidRoot w:val="00694556"/>
    <w:rsid w:val="00005C8B"/>
    <w:rsid w:val="000146C2"/>
    <w:rsid w:val="00016C35"/>
    <w:rsid w:val="000258FD"/>
    <w:rsid w:val="00036E5A"/>
    <w:rsid w:val="0003752C"/>
    <w:rsid w:val="000564AB"/>
    <w:rsid w:val="000D4A02"/>
    <w:rsid w:val="000F40F8"/>
    <w:rsid w:val="001072A9"/>
    <w:rsid w:val="00121F97"/>
    <w:rsid w:val="001277D7"/>
    <w:rsid w:val="00132017"/>
    <w:rsid w:val="0014234E"/>
    <w:rsid w:val="00145A87"/>
    <w:rsid w:val="00167B27"/>
    <w:rsid w:val="001C4003"/>
    <w:rsid w:val="001C69A4"/>
    <w:rsid w:val="001D3EC0"/>
    <w:rsid w:val="001F5474"/>
    <w:rsid w:val="002352F7"/>
    <w:rsid w:val="00242B7B"/>
    <w:rsid w:val="0027277D"/>
    <w:rsid w:val="002A34B4"/>
    <w:rsid w:val="003377E5"/>
    <w:rsid w:val="00337DB4"/>
    <w:rsid w:val="00381D3A"/>
    <w:rsid w:val="003823DA"/>
    <w:rsid w:val="003965B4"/>
    <w:rsid w:val="003D630D"/>
    <w:rsid w:val="0043595F"/>
    <w:rsid w:val="0047645A"/>
    <w:rsid w:val="004862A3"/>
    <w:rsid w:val="004D49A3"/>
    <w:rsid w:val="004D50AC"/>
    <w:rsid w:val="004E6E3C"/>
    <w:rsid w:val="005124F1"/>
    <w:rsid w:val="00530BAD"/>
    <w:rsid w:val="00540BF5"/>
    <w:rsid w:val="00541598"/>
    <w:rsid w:val="005416AE"/>
    <w:rsid w:val="00547DB7"/>
    <w:rsid w:val="00567324"/>
    <w:rsid w:val="00594203"/>
    <w:rsid w:val="005B0F49"/>
    <w:rsid w:val="005C7EC6"/>
    <w:rsid w:val="005D4BDB"/>
    <w:rsid w:val="00622BAA"/>
    <w:rsid w:val="00625C89"/>
    <w:rsid w:val="00633C4F"/>
    <w:rsid w:val="006536BA"/>
    <w:rsid w:val="006650E6"/>
    <w:rsid w:val="00671BD5"/>
    <w:rsid w:val="006805C1"/>
    <w:rsid w:val="006816EC"/>
    <w:rsid w:val="00694556"/>
    <w:rsid w:val="006E1A53"/>
    <w:rsid w:val="007056AA"/>
    <w:rsid w:val="007209CC"/>
    <w:rsid w:val="00744F41"/>
    <w:rsid w:val="007A24FE"/>
    <w:rsid w:val="007A35AA"/>
    <w:rsid w:val="007F1048"/>
    <w:rsid w:val="00820005"/>
    <w:rsid w:val="00846D27"/>
    <w:rsid w:val="008610A7"/>
    <w:rsid w:val="008875A9"/>
    <w:rsid w:val="008E1332"/>
    <w:rsid w:val="008F31F8"/>
    <w:rsid w:val="00903896"/>
    <w:rsid w:val="00927813"/>
    <w:rsid w:val="00932500"/>
    <w:rsid w:val="00944D13"/>
    <w:rsid w:val="00957C90"/>
    <w:rsid w:val="0096640B"/>
    <w:rsid w:val="009B70F6"/>
    <w:rsid w:val="009C358E"/>
    <w:rsid w:val="009E0263"/>
    <w:rsid w:val="00A267CF"/>
    <w:rsid w:val="00A31E09"/>
    <w:rsid w:val="00A342BD"/>
    <w:rsid w:val="00A43458"/>
    <w:rsid w:val="00AC4E19"/>
    <w:rsid w:val="00AD1F3F"/>
    <w:rsid w:val="00AD46CB"/>
    <w:rsid w:val="00AF1ED6"/>
    <w:rsid w:val="00B32C61"/>
    <w:rsid w:val="00B368FE"/>
    <w:rsid w:val="00B80CBD"/>
    <w:rsid w:val="00BC3369"/>
    <w:rsid w:val="00BC798A"/>
    <w:rsid w:val="00BF77EE"/>
    <w:rsid w:val="00C32E0F"/>
    <w:rsid w:val="00C42BF9"/>
    <w:rsid w:val="00C83E56"/>
    <w:rsid w:val="00CC63CE"/>
    <w:rsid w:val="00D319B3"/>
    <w:rsid w:val="00D36A71"/>
    <w:rsid w:val="00D53924"/>
    <w:rsid w:val="00D60849"/>
    <w:rsid w:val="00D96D8C"/>
    <w:rsid w:val="00DA755B"/>
    <w:rsid w:val="00DD337E"/>
    <w:rsid w:val="00E00B6F"/>
    <w:rsid w:val="00E44DDF"/>
    <w:rsid w:val="00E54642"/>
    <w:rsid w:val="00E97908"/>
    <w:rsid w:val="00EC0E30"/>
    <w:rsid w:val="00EF3ED0"/>
    <w:rsid w:val="00F17E56"/>
    <w:rsid w:val="00FB3C14"/>
    <w:rsid w:val="00FD766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uiPriority w:val="99"/>
    <w:semiHidden/>
    <w:unhideWhenUsed/>
    <w:rsid w:val="00FD766F"/>
    <w:rPr>
      <w:color w:val="0000FF"/>
      <w:u w:val="single"/>
    </w:rPr>
  </w:style>
  <w:style w:type="paragraph" w:styleId="ad">
    <w:name w:val="List Paragraph"/>
    <w:basedOn w:val="a"/>
    <w:uiPriority w:val="34"/>
    <w:qFormat/>
    <w:rsid w:val="00FD766F"/>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130706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jp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17928724" TargetMode="Externa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yperlink" Target="https://www.cbs.gov.il/he/Pages/%D7%9E%D7%97%D7%A9%D7%91%D7%95%D7%9F-%D7%94%D7%A6%D7%9E%D7%93%D7%94-%D7%9C%D7%9E%D7%93%D7%93%D7%99%D7%9D.aspx" TargetMode="External"/><Relationship Id="rId23" Type="http://schemas.openxmlformats.org/officeDocument/2006/relationships/fontTable" Target="fontTable.xml"/><Relationship Id="rId10" Type="http://schemas.openxmlformats.org/officeDocument/2006/relationships/hyperlink" Target="http://www.nevo.co.il/safrut/bookgroup/362"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nevo.co.il/safrut/bookgroup/362" TargetMode="External"/><Relationship Id="rId14" Type="http://schemas.openxmlformats.org/officeDocument/2006/relationships/image" Target="media/image3.png"/><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80199243</CaseID>
    <CaseJudicialPersonPresentationDS>
      <CaseJudicalPersonActive>
        <CaseID>80199243</CaseID>
        <JudicialPersonID>033554098@GOV.IL</JudicialPersonID>
        <JudicialPersonTypeID>1</JudicialPersonTypeID>
        <JudicialTypeID>1</JudicialTypeID>
        <IsChairman>false</IsChairman>
        <TreatmentStartDate>2023-06-15T15:41:25.823+03:00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ליאל  משה קסטרויאנו (קטין)</FullName>
        <FirstName>ליאל משה</FirstName>
        <LastName>קסטוריאנו</LastName>
        <PartyPropertyID>2</PartyPropertyID>
        <PartyPropertyName/>
        <AuthenticationTypeAndNumber>ת"ז 209954023</AuthenticationTypeAndNumber>
        <RepresentatedOrRepresentativesNames/>
        <RepresentatedOrRepresentativesCount>0</RepresentatedOrRepresentativesCount>
        <InvitedBy/>
        <CaseID>80199243</CaseID>
        <CaseJudicialPersonPresentationDS>
          <CaseJudicalPersonActive>
            <CaseID>80199243</CaseID>
            <JudicialPersonID>033554098@GOV.IL</JudicialPersonID>
            <JudicialPersonTypeID>1</JudicialPersonTypeID>
            <JudicialTypeID>1</JudicialTypeID>
            <IsChairman>false</IsChairman>
            <TreatmentStartDate>2023-06-15T15:41:25.823+03:00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254851776</CasePartyID>
        <PartyTypeID>3</PartyTypeID>
        <ActivityStatusID>1</ActivityStatusID>
        <LegalEntityID>6235776</LegalEntityID>
        <CaseLegalEntityID>124096669</CaseLegalEntityID>
        <AssistantRoleID>33</AssistantRoleID>
        <AuthenticationTypeID>1</AuthenticationTypeID>
        <AuthenticationTypeName>ת"ז</AuthenticationTypeName>
        <LegalEntityNumber>209954023</LegalEntityNumber>
        <IsMainPartyType>true</IsMainPartyType>
        <CaseDisplayIdentifier>48269-04-23</CaseDisplayIdentifier>
        <CaseTypeID>15</CaseTypeID>
        <CaseTypeName>תיק משפחה (תמ"ש)</CaseTypeName>
        <CaseName>יגודאייבה נ' קסטריאנו</CaseName>
        <FullAddress/>
        <MotionID>0</MotionID>
        <CasePleaID>0</CasePleaID>
        <FatherName>דור</FatherName>
        <LinkedCaseID>0</LinkedCaseID>
        <PartyID>1</PartyID>
        <CasePartyCategoryID>2</CasePartyCategoryID>
        <PleaTypeID>4</PleaTypeID>
        <GroupPartyAlias/>
        <IsConverted>false</IsConverted>
        <LegalEntityRegisteredNameID>5999306</LegalEntityRegisteredNameID>
        <LegalEntityNameID>94765309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ליאל  משה קסטרויאנו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אלן עושרת</FullName>
        <FirstName>אלן</FirstName>
        <LastName>עושרת</LastName>
        <PartyPropertyName/>
        <AuthenticationTypeAndNumber>מ.ר. 36830</AuthenticationTypeAndNumber>
        <RepresentatedOrRepresentativesNames>דורון קסטריאנו</RepresentatedOrRepresentativesNames>
        <RepresentatedOrRepresentativesCount>1</RepresentatedOrRepresentativesCount>
        <InvitedBy/>
        <CaseID>80199243</CaseID>
        <CaseJudicialPersonPresentationDS>
          <CaseJudicalPersonActive>
            <CaseID>80199243</CaseID>
            <JudicialPersonID>033554098@GOV.IL</JudicialPersonID>
            <JudicialPersonTypeID>1</JudicialPersonTypeID>
            <JudicialTypeID>1</JudicialTypeID>
            <IsChairman>false</IsChairman>
            <TreatmentStartDate>2023-06-15T15:41:25.823+03:00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256232981</CasePartyID>
        <PartyTypeID>2</PartyTypeID>
        <ActivityStatusID>1</ActivityStatusID>
        <PartyAliasID>21</PartyAliasID>
        <PartyAliasName>בא כוח נתבעים</PartyAliasName>
        <LegalEntityID>407471</LegalEntityID>
        <CaseLegalEntityID>124521864</CaseLegalEntityID>
        <AuthenticationTypeID>4</AuthenticationTypeID>
        <AuthenticationTypeName>מ.ר.</AuthenticationTypeName>
        <LegalEntityNumber>36830</LegalEntityNumber>
        <IsMainPartyType>true</IsMainPartyType>
        <CaseDisplayIdentifier>48269-04-23</CaseDisplayIdentifier>
        <CaseTypeID>15</CaseTypeID>
        <CaseTypeName>תיק משפחה (תמ"ש)</CaseTypeName>
        <CaseName>יגודאייבה נ' קסטריאנו</CaseName>
        <FullAddress>- חיפה </FullAddress>
        <EmailAddress>alain@auchrat-law.com</EmailAddress>
        <MotionID>0</MotionID>
        <CasePleaID>0</CasePleaID>
        <LinkedCaseID>0</LinkedCaseID>
        <PartyID>2</PartyID>
        <CasePartyCategoryID>2</CasePartyCategoryID>
        <LegalEntityAddressID>84329084</LegalEntityAddressID>
        <LegalEntityEmailAddressID>67831093</LegalEntityEmailAddressID>
        <PleaTypeID>4</PleaTypeID>
        <LawyerOfficeName>משרד עו"ד: אלן עושרת</LawyerOfficeName>
        <LawyerOfficeID>448115</LawyerOfficeID>
        <GroupPartyAlias/>
        <IsConverted>false</IsConverted>
        <LegalEntityNameID>28455</LegalEntityNameID>
        <RepresentatedNamesOfAssistant/>
        <LegalEntityTypeID>4</LegalEntityTypeID>
        <IsVerdictExists>false</IsVerdictExists>
        <IsAsirAzir>false</IsAsirAzir>
        <MainAndSecSpec/>
        <IsPublicationProhibited>false</IsPublicationProhibited>
        <PublicationProhibitedFullName>אלן עושרת</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חגית יגודאייבה</FullName>
        <FirstName>חגית</FirstName>
        <LastName>יגודאייבה</LastName>
        <PartyPropertyName/>
        <AuthenticationTypeAndNumber>ת"ז 016926487</AuthenticationTypeAndNumber>
        <RepresentatedOrRepresentativesNames>אלנה קורנבלום-אלבז</RepresentatedOrRepresentativesNames>
        <RepresentatedOrRepresentativesCount>1</RepresentatedOrRepresentativesCount>
        <InvitedBy/>
        <CaseID>80199243</CaseID>
        <CaseJudicialPersonPresentationDS>
          <CaseJudicalPersonActive>
            <CaseID>80199243</CaseID>
            <JudicialPersonID>033554098@GOV.IL</JudicialPersonID>
            <JudicialPersonTypeID>1</JudicialPersonTypeID>
            <JudicialTypeID>1</JudicialTypeID>
            <IsChairman>false</IsChairman>
            <TreatmentStartDate>2023-06-15T15:41:25.823+03:00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254851660</CasePartyID>
        <PartyTypeID>1</PartyTypeID>
        <ActivityStatusID>1</ActivityStatusID>
        <PartyAliasID>1</PartyAliasID>
        <PartyAliasName>תובע</PartyAliasName>
        <OrdinalNumber>1</OrdinalNumber>
        <LegalEntityID>6118288</LegalEntityID>
        <CaseLegalEntityID>124096616</CaseLegalEntityID>
        <AuthenticationTypeID>1</AuthenticationTypeID>
        <AuthenticationTypeName>ת"ז</AuthenticationTypeName>
        <LegalEntityNumber>016926487</LegalEntityNumber>
        <IsMainPartyType>true</IsMainPartyType>
        <CaseDisplayIdentifier>48269-04-23</CaseDisplayIdentifier>
        <CaseTypeID>15</CaseTypeID>
        <CaseTypeName>תיק משפחה (תמ"ש)</CaseTypeName>
        <CaseName>יגודאייבה נ' קסטריאנו</CaseName>
        <FullAddress>אדמונד פלג 28 חיפה </FullAddress>
        <MotionID>0</MotionID>
        <CasePleaID>0</CasePleaID>
        <FatherName>חנוכה</FatherName>
        <LinkedCaseID>0</LinkedCaseID>
        <PartyID>1</PartyID>
        <CasePartyCategoryID>2</CasePartyCategoryID>
        <LegalEntityAddressID>87834863</LegalEntityAddressID>
        <PleaTypeID>4</PleaTypeID>
        <GroupPartyAlias>תובעים</GroupPartyAlias>
        <IsConverted>false</IsConverted>
        <LegalEntityRegisteredNameID>1726753</LegalEntityRegisteredNameID>
        <LegalEntityNameID>94765292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חגית יגודאייבה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אלנה קורנבלום-אלבז</FullName>
        <FirstName>אלנה</FirstName>
        <LastName>קורנבלום-אלבז</LastName>
        <PartyPropertyName/>
        <AuthenticationTypeAndNumber>מ.ר. 83934</AuthenticationTypeAndNumber>
        <RepresentatedOrRepresentativesNames>חגית יגודאייבה</RepresentatedOrRepresentativesNames>
        <RepresentatedOrRepresentativesCount>1</RepresentatedOrRepresentativesCount>
        <InvitedBy/>
        <CaseID>80199243</CaseID>
        <CaseJudicialPersonPresentationDS>
          <CaseJudicalPersonActive>
            <CaseID>80199243</CaseID>
            <JudicialPersonID>033554098@GOV.IL</JudicialPersonID>
            <JudicialPersonTypeID>1</JudicialPersonTypeID>
            <JudicialTypeID>1</JudicialTypeID>
            <IsChairman>false</IsChairman>
            <TreatmentStartDate>2023-06-15T15:41:25.823+03:00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254851661</CasePartyID>
        <PartyTypeID>2</PartyTypeID>
        <ActivityStatusID>1</ActivityStatusID>
        <PartyAliasID>20</PartyAliasID>
        <PartyAliasName>בא כוח תובעים</PartyAliasName>
        <OrdinalNumber>1</OrdinalNumber>
        <LegalEntityID>78293085</LegalEntityID>
        <CaseLegalEntityID>124096617</CaseLegalEntityID>
        <AuthenticationTypeID>4</AuthenticationTypeID>
        <AuthenticationTypeName>מ.ר.</AuthenticationTypeName>
        <LegalEntityNumber>83934</LegalEntityNumber>
        <IsMainPartyType>true</IsMainPartyType>
        <CaseDisplayIdentifier>48269-04-23</CaseDisplayIdentifier>
        <CaseTypeID>15</CaseTypeID>
        <CaseTypeName>תיק משפחה (תמ"ש)</CaseTypeName>
        <CaseName>יגודאייבה נ' קסטריאנו</CaseName>
        <FullAddress>העצמאות 37 חיפה </FullAddress>
        <MotionID>0</MotionID>
        <CasePleaID>0</CasePleaID>
        <LinkedCaseID>0</LinkedCaseID>
        <PartyID>1</PartyID>
        <CasePartyCategoryID>2</CasePartyCategoryID>
        <LegalEntityAddressID>82879976</LegalEntityAddressID>
        <PleaTypeID>4</PleaTypeID>
        <LawyerOfficeName>משרד עו"ד אלנה קורנבלום-אלבז</LawyerOfficeName>
        <LawyerOfficeID>78293086</LawyerOfficeID>
        <GroupPartyAlias/>
        <IsConverted>false</IsConverted>
        <LegalEntityNameID>88132230</LegalEntityNameID>
        <RepresentatedNamesOfAssistant/>
        <LegalEntityTypeID>4</LegalEntityTypeID>
        <IsVerdictExists>false</IsVerdictExists>
        <IsAsirAzir>false</IsAsirAzir>
        <MainAndSecSpec/>
        <IsPublicationProhibited>false</IsPublicationProhibited>
        <PublicationProhibitedFullName>אלנה קורנבלום-אלבז</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דורון קסטריאנו</FullName>
        <FirstName>דורון</FirstName>
        <LastName>קסטריאנו</LastName>
        <PartyPropertyName/>
        <AuthenticationTypeAndNumber>ת"ז 027899822</AuthenticationTypeAndNumber>
        <RepresentatedOrRepresentativesNames>אלן עושרת</RepresentatedOrRepresentativesNames>
        <RepresentatedOrRepresentativesCount>1</RepresentatedOrRepresentativesCount>
        <InvitedBy/>
        <CaseID>80199243</CaseID>
        <CaseJudicialPersonPresentationDS>
          <CaseJudicalPersonActive>
            <CaseID>80199243</CaseID>
            <JudicialPersonID>033554098@GOV.IL</JudicialPersonID>
            <JudicialPersonTypeID>1</JudicialPersonTypeID>
            <JudicialTypeID>1</JudicialTypeID>
            <IsChairman>false</IsChairman>
            <TreatmentStartDate>2023-06-15T15:41:25.823+03:00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254851662</CasePartyID>
        <PartyTypeID>1</PartyTypeID>
        <ActivityStatusID>1</ActivityStatusID>
        <PartyAliasID>2</PartyAliasID>
        <PartyAliasName>נתבע</PartyAliasName>
        <OrdinalNumber>1</OrdinalNumber>
        <LegalEntityID>6141877</LegalEntityID>
        <CaseLegalEntityID>124096618</CaseLegalEntityID>
        <AuthenticationTypeID>1</AuthenticationTypeID>
        <AuthenticationTypeName>ת"ז</AuthenticationTypeName>
        <LegalEntityNumber>027899822</LegalEntityNumber>
        <IsMainPartyType>true</IsMainPartyType>
        <CaseDisplayIdentifier>48269-04-23</CaseDisplayIdentifier>
        <CaseTypeID>15</CaseTypeID>
        <CaseTypeName>תיק משפחה (תמ"ש)</CaseTypeName>
        <CaseName>יגודאייבה נ' קסטריאנו</CaseName>
        <FullAddress>כץ 68 פתח תקווה </FullAddress>
        <MotionID>0</MotionID>
        <CasePleaID>0</CasePleaID>
        <FatherName>משה</FatherName>
        <LinkedCaseID>0</LinkedCaseID>
        <PartyID>2</PartyID>
        <CasePartyCategoryID>2</CasePartyCategoryID>
        <LegalEntityAddressID>87834864</LegalEntityAddressID>
        <PleaTypeID>4</PleaTypeID>
        <GroupPartyAlias>נתבעים</GroupPartyAlias>
        <IsConverted>false</IsConverted>
        <LegalEntityNameID>94765293</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דורון קסטריאנו</PublicationProhibitedFullName>
      </CaseParties>
    </CasePartiesSelectionDS>
    <DecisionName>פסק דין  שניתנה ע"י  לירון זרבל- קדשאי</DecisionName>
    <CourtDisplayName>בית משפט לענייני משפחה בחיפה</CourtDisplayName>
    <IsCaseJudgePanel>false</IsCaseJudgePanel>
    <DecisionSignatureDate>2024-10-29T11:19:27.6374764+02:00</DecisionSignatureDate>
    <OpenCaseDate>2023-04-27T10:20:00+03:00</OpenCaseDate>
    <CaseFeeSum>0.000</CaseFeeSum>
    <DecisionTypeID>2</DecisionTypeID>
    <DecisionSignatureUserName>לירון זרבל- קדשאי</DecisionSignatureUserName>
    <DecisionSignatureDateHebrew>2024-10-29T11:19:27.6374764+02:00</DecisionSignatureDateHebrew>
    <DecisionWriterID>033554098@GOV.IL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יגודאייבה נ' קסטריאנו</CaseName>
    <DecisionNumberInCase>14</DecisionNumberInCase>
  </dt_Decision>
  <dt_DecisionCase>
    <DecisionID>0</DecisionID>
    <CaseID>80199243</CaseID>
    <CaseJudicialPersonPresentationDS>
      <CaseJudicalPersonActive>
        <CaseID>80199243</CaseID>
        <JudicialPersonID>033554098@GOV.IL</JudicialPersonID>
        <JudicialPersonTypeID>1</JudicialPersonTypeID>
        <JudicialTypeID>1</JudicialTypeID>
        <IsChairman>false</IsChairman>
        <TreatmentStartDate>2023-06-15T15:41:25.823+03:00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ליאל  משה קסטרויאנו (קטין)</FullName>
        <FirstName>ליאל משה</FirstName>
        <LastName>קסטוריאנו</LastName>
        <PartyPropertyID>2</PartyPropertyID>
        <PartyPropertyName/>
        <AuthenticationTypeAndNumber>ת"ז 209954023</AuthenticationTypeAndNumber>
        <RepresentatedOrRepresentativesNames/>
        <RepresentatedOrRepresentativesCount>0</RepresentatedOrRepresentativesCount>
        <InvitedBy/>
        <CaseID>80199243</CaseID>
        <CaseJudicialPersonPresentationDS>
          <CaseJudicalPersonActive>
            <CaseID>80199243</CaseID>
            <JudicialPersonID>033554098@GOV.IL</JudicialPersonID>
            <JudicialPersonTypeID>1</JudicialPersonTypeID>
            <JudicialTypeID>1</JudicialTypeID>
            <IsChairman>false</IsChairman>
            <TreatmentStartDate>2023-06-15T15:41:25.823+03:00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254851776</CasePartyID>
        <PartyTypeID>3</PartyTypeID>
        <ActivityStatusID>1</ActivityStatusID>
        <LegalEntityID>6235776</LegalEntityID>
        <CaseLegalEntityID>124096669</CaseLegalEntityID>
        <AssistantRoleID>33</AssistantRoleID>
        <AuthenticationTypeID>1</AuthenticationTypeID>
        <AuthenticationTypeName>ת"ז</AuthenticationTypeName>
        <LegalEntityNumber>209954023</LegalEntityNumber>
        <IsMainPartyType>true</IsMainPartyType>
        <CaseDisplayIdentifier>48269-04-23</CaseDisplayIdentifier>
        <CaseTypeID>15</CaseTypeID>
        <CaseTypeName>תיק משפחה (תמ"ש)</CaseTypeName>
        <CaseName>יגודאייבה נ' קסטריאנו</CaseName>
        <FullAddress/>
        <MotionID>0</MotionID>
        <CasePleaID>0</CasePleaID>
        <FatherName>דור</FatherName>
        <LinkedCaseID>0</LinkedCaseID>
        <PartyID>1</PartyID>
        <CasePartyCategoryID>2</CasePartyCategoryID>
        <PleaTypeID>4</PleaTypeID>
        <GroupPartyAlias/>
        <IsConverted>false</IsConverted>
        <LegalEntityRegisteredNameID>5999306</LegalEntityRegisteredNameID>
        <LegalEntityNameID>94765309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ליאל  משה קסטרויאנו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אלן עושרת</FullName>
        <FirstName>אלן</FirstName>
        <LastName>עושרת</LastName>
        <PartyPropertyName/>
        <AuthenticationTypeAndNumber>מ.ר. 36830</AuthenticationTypeAndNumber>
        <RepresentatedOrRepresentativesNames>דורון קסטריאנו</RepresentatedOrRepresentativesNames>
        <RepresentatedOrRepresentativesCount>1</RepresentatedOrRepresentativesCount>
        <InvitedBy/>
        <CaseID>80199243</CaseID>
        <CaseJudicialPersonPresentationDS>
          <CaseJudicalPersonActive>
            <CaseID>80199243</CaseID>
            <JudicialPersonID>033554098@GOV.IL</JudicialPersonID>
            <JudicialPersonTypeID>1</JudicialPersonTypeID>
            <JudicialTypeID>1</JudicialTypeID>
            <IsChairman>false</IsChairman>
            <TreatmentStartDate>2023-06-15T15:41:25.823+03:00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256232981</CasePartyID>
        <PartyTypeID>2</PartyTypeID>
        <ActivityStatusID>1</ActivityStatusID>
        <PartyAliasID>21</PartyAliasID>
        <PartyAliasName>בא כוח נתבעים</PartyAliasName>
        <LegalEntityID>407471</LegalEntityID>
        <CaseLegalEntityID>124521864</CaseLegalEntityID>
        <AuthenticationTypeID>4</AuthenticationTypeID>
        <AuthenticationTypeName>מ.ר.</AuthenticationTypeName>
        <LegalEntityNumber>36830</LegalEntityNumber>
        <IsMainPartyType>true</IsMainPartyType>
        <CaseDisplayIdentifier>48269-04-23</CaseDisplayIdentifier>
        <CaseTypeID>15</CaseTypeID>
        <CaseTypeName>תיק משפחה (תמ"ש)</CaseTypeName>
        <CaseName>יגודאייבה נ' קסטריאנו</CaseName>
        <FullAddress>- חיפה </FullAddress>
        <EmailAddress>alain@auchrat-law.com</EmailAddress>
        <MotionID>0</MotionID>
        <CasePleaID>0</CasePleaID>
        <LinkedCaseID>0</LinkedCaseID>
        <PartyID>2</PartyID>
        <CasePartyCategoryID>2</CasePartyCategoryID>
        <LegalEntityAddressID>84329084</LegalEntityAddressID>
        <LegalEntityEmailAddressID>67831093</LegalEntityEmailAddressID>
        <PleaTypeID>4</PleaTypeID>
        <LawyerOfficeName>משרד עו"ד: אלן עושרת</LawyerOfficeName>
        <LawyerOfficeID>448115</LawyerOfficeID>
        <GroupPartyAlias/>
        <IsConverted>false</IsConverted>
        <LegalEntityNameID>28455</LegalEntityNameID>
        <RepresentatedNamesOfAssistant/>
        <LegalEntityTypeID>4</LegalEntityTypeID>
        <IsVerdictExists>false</IsVerdictExists>
        <IsAsirAzir>false</IsAsirAzir>
        <MainAndSecSpec/>
        <IsPublicationProhibited>false</IsPublicationProhibited>
        <PublicationProhibitedFullName>אלן עושרת</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חגית יגודאייבה</FullName>
        <FirstName>חגית</FirstName>
        <LastName>יגודאייבה</LastName>
        <PartyPropertyName/>
        <AuthenticationTypeAndNumber>ת"ז 016926487</AuthenticationTypeAndNumber>
        <RepresentatedOrRepresentativesNames>אלנה קורנבלום-אלבז</RepresentatedOrRepresentativesNames>
        <RepresentatedOrRepresentativesCount>1</RepresentatedOrRepresentativesCount>
        <InvitedBy/>
        <CaseID>80199243</CaseID>
        <CaseJudicialPersonPresentationDS>
          <CaseJudicalPersonActive>
            <CaseID>80199243</CaseID>
            <JudicialPersonID>033554098@GOV.IL</JudicialPersonID>
            <JudicialPersonTypeID>1</JudicialPersonTypeID>
            <JudicialTypeID>1</JudicialTypeID>
            <IsChairman>false</IsChairman>
            <TreatmentStartDate>2023-06-15T15:41:25.823+03:00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254851660</CasePartyID>
        <PartyTypeID>1</PartyTypeID>
        <ActivityStatusID>1</ActivityStatusID>
        <PartyAliasID>1</PartyAliasID>
        <PartyAliasName>תובע</PartyAliasName>
        <OrdinalNumber>1</OrdinalNumber>
        <LegalEntityID>6118288</LegalEntityID>
        <CaseLegalEntityID>124096616</CaseLegalEntityID>
        <AuthenticationTypeID>1</AuthenticationTypeID>
        <AuthenticationTypeName>ת"ז</AuthenticationTypeName>
        <LegalEntityNumber>016926487</LegalEntityNumber>
        <IsMainPartyType>true</IsMainPartyType>
        <CaseDisplayIdentifier>48269-04-23</CaseDisplayIdentifier>
        <CaseTypeID>15</CaseTypeID>
        <CaseTypeName>תיק משפחה (תמ"ש)</CaseTypeName>
        <CaseName>יגודאייבה נ' קסטריאנו</CaseName>
        <FullAddress>אדמונד פלג 28 חיפה </FullAddress>
        <MotionID>0</MotionID>
        <CasePleaID>0</CasePleaID>
        <FatherName>חנוכה</FatherName>
        <LinkedCaseID>0</LinkedCaseID>
        <PartyID>1</PartyID>
        <CasePartyCategoryID>2</CasePartyCategoryID>
        <LegalEntityAddressID>87834863</LegalEntityAddressID>
        <PleaTypeID>4</PleaTypeID>
        <GroupPartyAlias>תובעים</GroupPartyAlias>
        <IsConverted>false</IsConverted>
        <LegalEntityRegisteredNameID>1726753</LegalEntityRegisteredNameID>
        <LegalEntityNameID>94765292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חגית יגודאייבה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אלנה קורנבלום-אלבז</FullName>
        <FirstName>אלנה</FirstName>
        <LastName>קורנבלום-אלבז</LastName>
        <PartyPropertyName/>
        <AuthenticationTypeAndNumber>מ.ר. 83934</AuthenticationTypeAndNumber>
        <RepresentatedOrRepresentativesNames>חגית יגודאייבה</RepresentatedOrRepresentativesNames>
        <RepresentatedOrRepresentativesCount>1</RepresentatedOrRepresentativesCount>
        <InvitedBy/>
        <CaseID>80199243</CaseID>
        <CaseJudicialPersonPresentationDS>
          <CaseJudicalPersonActive>
            <CaseID>80199243</CaseID>
            <JudicialPersonID>033554098@GOV.IL</JudicialPersonID>
            <JudicialPersonTypeID>1</JudicialPersonTypeID>
            <JudicialTypeID>1</JudicialTypeID>
            <IsChairman>false</IsChairman>
            <TreatmentStartDate>2023-06-15T15:41:25.823+03:00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254851661</CasePartyID>
        <PartyTypeID>2</PartyTypeID>
        <ActivityStatusID>1</ActivityStatusID>
        <PartyAliasID>20</PartyAliasID>
        <PartyAliasName>בא כוח תובעים</PartyAliasName>
        <OrdinalNumber>1</OrdinalNumber>
        <LegalEntityID>78293085</LegalEntityID>
        <CaseLegalEntityID>124096617</CaseLegalEntityID>
        <AuthenticationTypeID>4</AuthenticationTypeID>
        <AuthenticationTypeName>מ.ר.</AuthenticationTypeName>
        <LegalEntityNumber>83934</LegalEntityNumber>
        <IsMainPartyType>true</IsMainPartyType>
        <CaseDisplayIdentifier>48269-04-23</CaseDisplayIdentifier>
        <CaseTypeID>15</CaseTypeID>
        <CaseTypeName>תיק משפחה (תמ"ש)</CaseTypeName>
        <CaseName>יגודאייבה נ' קסטריאנו</CaseName>
        <FullAddress>העצמאות 37 חיפה </FullAddress>
        <MotionID>0</MotionID>
        <CasePleaID>0</CasePleaID>
        <LinkedCaseID>0</LinkedCaseID>
        <PartyID>1</PartyID>
        <CasePartyCategoryID>2</CasePartyCategoryID>
        <LegalEntityAddressID>82879976</LegalEntityAddressID>
        <PleaTypeID>4</PleaTypeID>
        <LawyerOfficeName>משרד עו"ד אלנה קורנבלום-אלבז</LawyerOfficeName>
        <LawyerOfficeID>78293086</LawyerOfficeID>
        <GroupPartyAlias/>
        <IsConverted>false</IsConverted>
        <LegalEntityNameID>88132230</LegalEntityNameID>
        <RepresentatedNamesOfAssistant/>
        <LegalEntityTypeID>4</LegalEntityTypeID>
        <IsVerdictExists>false</IsVerdictExists>
        <IsAsirAzir>false</IsAsirAzir>
        <MainAndSecSpec/>
        <IsPublicationProhibited>false</IsPublicationProhibited>
        <PublicationProhibitedFullName>אלנה קורנבלום-אלבז</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דורון קסטריאנו</FullName>
        <FirstName>דורון</FirstName>
        <LastName>קסטריאנו</LastName>
        <PartyPropertyName/>
        <AuthenticationTypeAndNumber>ת"ז 027899822</AuthenticationTypeAndNumber>
        <RepresentatedOrRepresentativesNames>אלן עושרת</RepresentatedOrRepresentativesNames>
        <RepresentatedOrRepresentativesCount>1</RepresentatedOrRepresentativesCount>
        <InvitedBy/>
        <CaseID>80199243</CaseID>
        <CaseJudicialPersonPresentationDS>
          <CaseJudicalPersonActive>
            <CaseID>80199243</CaseID>
            <JudicialPersonID>033554098@GOV.IL</JudicialPersonID>
            <JudicialPersonTypeID>1</JudicialPersonTypeID>
            <JudicialTypeID>1</JudicialTypeID>
            <IsChairman>false</IsChairman>
            <TreatmentStartDate>2023-06-15T15:41:25.823+03:00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254851662</CasePartyID>
        <PartyTypeID>1</PartyTypeID>
        <ActivityStatusID>1</ActivityStatusID>
        <PartyAliasID>2</PartyAliasID>
        <PartyAliasName>נתבע</PartyAliasName>
        <OrdinalNumber>1</OrdinalNumber>
        <LegalEntityID>6141877</LegalEntityID>
        <CaseLegalEntityID>124096618</CaseLegalEntityID>
        <AuthenticationTypeID>1</AuthenticationTypeID>
        <AuthenticationTypeName>ת"ז</AuthenticationTypeName>
        <LegalEntityNumber>027899822</LegalEntityNumber>
        <IsMainPartyType>true</IsMainPartyType>
        <CaseDisplayIdentifier>48269-04-23</CaseDisplayIdentifier>
        <CaseTypeID>15</CaseTypeID>
        <CaseTypeName>תיק משפחה (תמ"ש)</CaseTypeName>
        <CaseName>יגודאייבה נ' קסטריאנו</CaseName>
        <FullAddress>כץ 68 פתח תקווה </FullAddress>
        <MotionID>0</MotionID>
        <CasePleaID>0</CasePleaID>
        <FatherName>משה</FatherName>
        <LinkedCaseID>0</LinkedCaseID>
        <PartyID>2</PartyID>
        <CasePartyCategoryID>2</CasePartyCategoryID>
        <LegalEntityAddressID>87834864</LegalEntityAddressID>
        <PleaTypeID>4</PleaTypeID>
        <GroupPartyAlias>נתבעים</GroupPartyAlias>
        <IsConverted>false</IsConverted>
        <LegalEntityNameID>94765293</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דורון קסטריאנו</PublicationProhibitedFullName>
      </CaseParties>
    </CasePartiesSelectionDS>
    <CaseName>יגודאייבה נ' קסטריאנו</CaseName>
    <CaseDisplayIdentifier>48269-04-23</CaseDisplayIdentifier>
    <CaseInterestID>167</CaseInterestID>
    <CaseTypeShortName>תמ"ש</CaseTypeShortName>
  </dt_DecisionCase>
  <dt_DecisionJudgePanel>
    <JudgeID>033554098@GOV.IL</JudgeID>
    <DisplayName>לירון זרבל- קדשאי</DisplayName>
    <RoleName>שופט</RoleName>
    <UserTitleName>שופטת</UserTitleName>
  </dt_DecisionJudgePanel>
  <dt_LegalEntityDetails>
    <Fax/>
    <Phone/>
    <AddressDesc/>
    <PartyID>1</PartyID>
    <PartyTypeID>3</PartyTypeID>
    <DecisionID>0</DecisionID>
    <AssistantRoleID>33</AssistantRoleID>
    <StreetName/>
    <CityName/>
    <FullName>ליאל  משה קסטרויאנו</FullName>
    <Email/>
    <IsPublicationProhibited>false</IsPublicationProhibited>
  </dt_LegalEntityDetails>
  <dt_LegalEntityDetails>
    <Fax>04-8666639</Fax>
    <Phone>04-8666629</Phone>
    <AddressDesc/>
    <PartyID>2</PartyID>
    <PartyTypeID>2</PartyTypeID>
    <DecisionID>0</DecisionID>
    <StreetName>-</StreetName>
    <ZipCode>31034</ZipCode>
    <CityName>חיפה</CityName>
    <FullName>אלן עושרת</FullName>
    <Email>alain@auchrat-law.com</Email>
    <IsPublicationProhibited>false</IsPublicationProhibited>
  </dt_LegalEntityDetails>
  <dt_LegalEntityDetails>
    <PartyID>1</PartyID>
    <PartyTypeID>1</PartyTypeID>
    <DecisionID>0</DecisionID>
    <StreetName>אדמונד פלג 28</StreetName>
    <CityName>חיפה</CityName>
    <FullName>חגית יגודאייבה</FullName>
    <IsPublicationProhibited>false</IsPublicationProhibited>
  </dt_LegalEntityDetails>
  <dt_LegalEntityDetails>
    <Fax>04-8644078</Fax>
    <Phone>04-8644037</Phone>
    <PartyID>1</PartyID>
    <PartyTypeID>2</PartyTypeID>
    <DecisionID>0</DecisionID>
    <StreetName>העצמאות 37</StreetName>
    <ZipCode>3303319</ZipCode>
    <CityName>חיפה</CityName>
    <FullName>אלנה קורנבלום-אלבז</FullName>
    <Email>elena17law@gmail.com</Email>
    <IsPublicationProhibited>false</IsPublicationProhibited>
  </dt_LegalEntityDetails>
  <dt_LegalEntityDetails>
    <PartyID>2</PartyID>
    <PartyTypeID>1</PartyTypeID>
    <DecisionID>0</DecisionID>
    <StreetName>כץ 68</StreetName>
    <CityName>פתח תקווה</CityName>
    <FullName>דורון  קסטריאנו</FullName>
    <IsPublicationProhibited>false</IsPublicationProhibited>
  </dt_LegalEntityDetails>
  <dt_CaseJudicalPersonActive>
    <CaseJudicalPerson>שופטת לירון זרבל- קדשאי</CaseJudicalPerson>
  </dt_CaseJudicalPersonActive>
  <dt_Sitting>
    <PreviousMeetingDate>2024-01-18T13:00:00+02:00</PreviousMeetingDate>
    <PreviousSittingTypeID>1</PreviousSittingTypeID>
    <PreviousMeetingDisplayName>שופטת לירון זרבל- קדשאי</PreviousMeetingDisplayName>
    <PreviousMeetingRoleName>שופט</PreviousMeetingRoleName>
    <PreviousMeetingUserTitleName>שופטת</PreviousMeetingUserTitleName>
    <PreviousMeetingUserUPN>033554098@GOV.IL</PreviousMeetingUserUPN>
  </dt_Sitting>
</DecisionTemplateDS>
</file>

<file path=customXml/itemProps1.xml><?xml version="1.0" encoding="utf-8"?>
<ds:datastoreItem xmlns:ds="http://schemas.openxmlformats.org/officeDocument/2006/customXml" ds:itemID="{60EDCE34-A7B3-4C23-8F80-E4E23D4A4B7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4451</Words>
  <Characters>22257</Characters>
  <Application>Microsoft Office Word</Application>
  <DocSecurity>4</DocSecurity>
  <Lines>185</Lines>
  <Paragraphs>53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2024-11-03T07:44:00Z</dcterms:created>
  <dcterms:modified xsi:type="dcterms:W3CDTF">2024-11-03T07:44:00Z</dcterms:modified>
</cp:coreProperties>
</file>